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3" w:name="_GoBack"/>
      <w:bookmarkEnd w:id="3"/>
      <w:r>
        <w:pict>
          <v:rect id="_x0000_s1026" o:spid="_x0000_s1026" o:spt="1" style="position:absolute;left:0pt;margin-left:1.5pt;margin-top:3pt;height:643.5pt;width:414.75pt;z-index:251659264;mso-width-relative:page;mso-height-relative:page;" coordsize="21600,21600">
            <v:path/>
            <v:fill focussize="0,0"/>
            <v:stroke weight="3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ascii="黑体" w:hAnsi="黑体" w:eastAsia="黑体"/>
                      <w:b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/>
                      <w:b/>
                      <w:sz w:val="36"/>
                      <w:szCs w:val="36"/>
                    </w:rPr>
                    <w:t>乙酸；醋酸；冰醋酸</w:t>
                  </w:r>
                </w:p>
                <w:p>
                  <w:pPr>
                    <w:spacing w:line="360" w:lineRule="auto"/>
                    <w:jc w:val="center"/>
                    <w:rPr>
                      <w:rFonts w:ascii="黑体" w:hAnsi="黑体" w:eastAsia="黑体"/>
                      <w:b/>
                      <w:color w:val="000000"/>
                      <w:sz w:val="30"/>
                      <w:szCs w:val="30"/>
                    </w:rPr>
                  </w:pPr>
                  <w:r>
                    <w:t xml:space="preserve"> </w:t>
                  </w:r>
                  <w:r>
                    <w:rPr>
                      <w:rFonts w:ascii="黑体" w:hAnsi="黑体" w:eastAsia="黑体"/>
                      <w:b/>
                      <w:color w:val="000000"/>
                      <w:sz w:val="30"/>
                      <w:szCs w:val="30"/>
                    </w:rPr>
                    <w:t>acetic acid</w:t>
                  </w:r>
                  <w:r>
                    <w:rPr>
                      <w:rFonts w:hint="eastAsia" w:ascii="黑体" w:hAnsi="黑体" w:eastAsia="黑体"/>
                      <w:b/>
                      <w:color w:val="000000"/>
                      <w:sz w:val="30"/>
                      <w:szCs w:val="30"/>
                    </w:rPr>
                    <w:t>；glacial acetic acid；vinegar acid</w:t>
                  </w:r>
                </w:p>
                <w:p>
                  <w:pPr>
                    <w:jc w:val="left"/>
                    <w:rPr>
                      <w:rFonts w:ascii="Times New Roman"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Times New Roman"/>
                      <w:color w:val="000000"/>
                      <w:sz w:val="30"/>
                      <w:szCs w:val="30"/>
                    </w:rPr>
                    <w:drawing>
                      <wp:inline distT="0" distB="0" distL="0" distR="0">
                        <wp:extent cx="1238250" cy="428625"/>
                        <wp:effectExtent l="1905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2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Times New Roman"/>
                      <w:color w:val="000000"/>
                      <w:sz w:val="30"/>
                      <w:szCs w:val="30"/>
                    </w:rPr>
                    <w:t xml:space="preserve">    </w:t>
                  </w:r>
                  <w:r>
                    <w:rPr>
                      <w:rFonts w:ascii="仿宋_GB2312" w:eastAsia="仿宋_GB2312"/>
                      <w:color w:val="253B74"/>
                      <w:sz w:val="28"/>
                      <w:szCs w:val="28"/>
                    </w:rPr>
                    <w:drawing>
                      <wp:inline distT="0" distB="0" distL="0" distR="0">
                        <wp:extent cx="932180" cy="935990"/>
                        <wp:effectExtent l="19050" t="0" r="1121" b="0"/>
                        <wp:docPr id="5" name="图片 5" descr="http://www.unece.org/trans/danger/publi/ghs/pictograms/aci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http://www.unece.org/trans/danger/publi/ghs/pictograms/aci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329" cy="93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="仿宋_GB2312" w:hAnsi="宋体" w:eastAsia="仿宋_GB2312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仿宋_GB2312" w:eastAsia="仿宋_GB2312"/>
                      <w:color w:val="253B74"/>
                      <w:sz w:val="28"/>
                      <w:szCs w:val="28"/>
                    </w:rPr>
                    <w:drawing>
                      <wp:inline distT="0" distB="0" distL="0" distR="0">
                        <wp:extent cx="935355" cy="935990"/>
                        <wp:effectExtent l="19050" t="0" r="0" b="0"/>
                        <wp:docPr id="3" name="图片 2" descr="http://www.unece.org/trans/danger/publi/ghs/pictograms/flamm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 descr="http://www.unece.org/trans/danger/publi/ghs/pictograms/flamm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5388" cy="93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napToGrid w:val="0"/>
                    <w:spacing w:line="360" w:lineRule="auto"/>
                    <w:jc w:val="center"/>
                    <w:rPr>
                      <w:rFonts w:ascii="宋体" w:hAnsi="宋体" w:eastAsia="宋体" w:cs="宋体"/>
                      <w:b/>
                      <w:snapToGrid w:val="0"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napToGrid w:val="0"/>
                      <w:color w:val="000000"/>
                      <w:kern w:val="0"/>
                      <w:sz w:val="30"/>
                      <w:szCs w:val="30"/>
                    </w:rPr>
                    <w:t>易燃液体和蒸气，造成严重的皮肤灼伤和眼损伤，引起严重眼睛损伤。</w:t>
                  </w:r>
                </w:p>
                <w:p>
                  <w:pPr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【预防措施】</w:t>
                  </w:r>
                </w:p>
                <w:p>
                  <w:pPr>
                    <w:spacing w:line="360" w:lineRule="auto"/>
                    <w:jc w:val="left"/>
                    <w:rPr>
                      <w:rFonts w:ascii="Times New Roman"/>
                      <w:color w:val="000000"/>
                    </w:rPr>
                  </w:pPr>
                  <w:r>
                    <w:rPr>
                      <w:rFonts w:hint="eastAsia" w:ascii="Times New Roman"/>
                      <w:color w:val="000000"/>
                    </w:rPr>
                    <w:t>远离热源/火花/明火/热表面。禁止吸烟。保持容器密闭。容器和接收设备接地/连接。使用防爆电器/通风/照明设备。只能使用不产生火花的工具。采取防止静电措施。避免接触眼睛、皮肤，操作后彻底清洗。戴防护手套，穿防护服，戴防护眼睛、防护面罩。</w:t>
                  </w:r>
                </w:p>
                <w:p>
                  <w:pPr>
                    <w:spacing w:line="360" w:lineRule="auto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【事故响应】</w:t>
                  </w:r>
                </w:p>
                <w:p>
                  <w:pPr>
                    <w:pStyle w:val="10"/>
                    <w:spacing w:before="0" w:after="0" w:line="360" w:lineRule="auto"/>
                    <w:jc w:val="left"/>
                    <w:rPr>
                      <w:rFonts w:ascii="Times New Roman" w:eastAsiaTheme="minorEastAsia"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Times New Roman" w:eastAsiaTheme="minorEastAsia"/>
                      <w:color w:val="000000"/>
                      <w:kern w:val="2"/>
                      <w:sz w:val="21"/>
                      <w:lang w:eastAsia="zh-CN"/>
                    </w:rPr>
                    <w:t>火灾时，使用雾状水、抗溶性泡沫、干粉、二氧化碳灭火。如吸入：将患者转移到空气新鲜处，休息，保持利于呼吸的体位，立即呼叫中毒控制中心或就医。如皮肤　（或头发）接触：立即脱掉所有被污染的衣服，用水冲洗皮肤，淋浴。污染的衣服须洗净后方可重新使用。眼睛接触：用水细心地冲洗数分钟。如戴隐形眼镜并可方便地取出，则取出隐形眼镜继续冲洗。食入：漱口，不要催吐。</w:t>
                  </w:r>
                </w:p>
                <w:p>
                  <w:pPr>
                    <w:pStyle w:val="10"/>
                    <w:spacing w:before="0" w:after="0" w:line="360" w:lineRule="auto"/>
                    <w:jc w:val="left"/>
                    <w:rPr>
                      <w:rFonts w:ascii="Times New Roman" w:eastAsiaTheme="minorEastAsia"/>
                      <w:color w:val="000000"/>
                      <w:kern w:val="2"/>
                      <w:sz w:val="21"/>
                      <w:lang w:eastAsia="zh-CN"/>
                    </w:rPr>
                  </w:pPr>
                  <w:r>
                    <w:rPr>
                      <w:rFonts w:hint="eastAsia" w:ascii="Times New Roman" w:eastAsiaTheme="minorEastAsia"/>
                      <w:color w:val="000000"/>
                      <w:kern w:val="2"/>
                      <w:sz w:val="21"/>
                      <w:lang w:eastAsia="zh-CN"/>
                    </w:rPr>
                    <w:t>【安全储存】</w:t>
                  </w:r>
                </w:p>
                <w:p>
                  <w:pPr>
                    <w:spacing w:line="360" w:lineRule="auto"/>
                    <w:rPr>
                      <w:rFonts w:ascii="Times New Roman"/>
                      <w:color w:val="000000"/>
                    </w:rPr>
                  </w:pPr>
                  <w:r>
                    <w:rPr>
                      <w:rFonts w:hint="eastAsia"/>
                    </w:rPr>
                    <w:t>在阴凉、通风良好处储存。储存于抗腐蚀/有抗腐蚀内衬的容器中。上锁保管。与氧化剂、碱类、食用化学品分开存放，切忌混储</w:t>
                  </w:r>
                  <w:r>
                    <w:rPr>
                      <w:rFonts w:hint="eastAsia" w:ascii="Times New Roman"/>
                      <w:color w:val="000000"/>
                    </w:rPr>
                    <w:t>。</w:t>
                  </w:r>
                </w:p>
                <w:p>
                  <w:pPr>
                    <w:rPr>
                      <w:rFonts w:ascii="Times New Roman"/>
                      <w:color w:val="000000"/>
                      <w:szCs w:val="21"/>
                    </w:rPr>
                  </w:pPr>
                  <w:r>
                    <w:rPr>
                      <w:rFonts w:hint="eastAsia" w:ascii="Times New Roman"/>
                      <w:color w:val="000000"/>
                      <w:szCs w:val="21"/>
                    </w:rPr>
                    <w:t>【废弃处置】</w:t>
                  </w:r>
                </w:p>
                <w:p>
                  <w:pPr>
                    <w:spacing w:line="360" w:lineRule="auto"/>
                    <w:ind w:left="210" w:leftChars="100"/>
                    <w:jc w:val="lef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建议用焚烧法处置。按照当地/区域/国家/国际规章处置内装物/容器。</w:t>
                  </w:r>
                </w:p>
                <w:p>
                  <w:pPr>
                    <w:spacing w:line="360" w:lineRule="auto"/>
                    <w:ind w:left="210" w:leftChars="100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请参阅化学品安全技术说明书</w:t>
                  </w:r>
                </w:p>
                <w:tbl>
                  <w:tblPr>
                    <w:tblStyle w:val="5"/>
                    <w:tblpPr w:leftFromText="180" w:rightFromText="180" w:vertAnchor="text" w:horzAnchor="page" w:tblpX="2450" w:tblpY="276"/>
                    <w:tblW w:w="6275" w:type="dxa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925"/>
                    <w:gridCol w:w="3050"/>
                    <w:gridCol w:w="800"/>
                    <w:gridCol w:w="1500"/>
                  </w:tblGrid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925" w:type="dxa"/>
                        <w:noWrap w:val="0"/>
                        <w:vAlign w:val="top"/>
                      </w:tcPr>
                      <w:p>
                        <w:pPr>
                          <w:widowControl w:val="0"/>
                          <w:jc w:val="both"/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供应商：</w:t>
                        </w:r>
                      </w:p>
                    </w:tc>
                    <w:tc>
                      <w:tcPr>
                        <w:tcW w:w="3050" w:type="dxa"/>
                        <w:noWrap w:val="0"/>
                        <w:vAlign w:val="top"/>
                      </w:tcPr>
                      <w:p>
                        <w:pPr>
                          <w:widowControl w:val="0"/>
                          <w:jc w:val="both"/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bookmarkStart w:id="0" w:name="SupplierName"/>
                        <w:r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华鲁恒升（荆州）有限公司</w:t>
                        </w:r>
                        <w:bookmarkEnd w:id="0"/>
                      </w:p>
                    </w:tc>
                    <w:tc>
                      <w:tcPr>
                        <w:tcW w:w="800" w:type="dxa"/>
                        <w:noWrap w:val="0"/>
                        <w:vAlign w:val="top"/>
                      </w:tcPr>
                      <w:p>
                        <w:pPr>
                          <w:widowControl w:val="0"/>
                          <w:jc w:val="both"/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电话：</w:t>
                        </w:r>
                      </w:p>
                    </w:tc>
                    <w:tc>
                      <w:tcPr>
                        <w:tcW w:w="1500" w:type="dxa"/>
                        <w:noWrap w:val="0"/>
                        <w:vAlign w:val="top"/>
                      </w:tcPr>
                      <w:p>
                        <w:pPr>
                          <w:widowControl w:val="0"/>
                          <w:jc w:val="both"/>
                          <w:rPr>
                            <w:rFonts w:hint="default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eastAsia="宋体"/>
                            <w:szCs w:val="21"/>
                            <w:lang w:val="en-US" w:eastAsia="zh-CN"/>
                          </w:rPr>
                          <w:t>0716-4155938</w:t>
                        </w:r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406" w:hRule="atLeast"/>
                    </w:trPr>
                    <w:tc>
                      <w:tcPr>
                        <w:tcW w:w="925" w:type="dxa"/>
                        <w:noWrap w:val="0"/>
                        <w:vAlign w:val="top"/>
                      </w:tcPr>
                      <w:p>
                        <w:pPr>
                          <w:widowControl w:val="0"/>
                          <w:jc w:val="both"/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地址：</w:t>
                        </w:r>
                      </w:p>
                    </w:tc>
                    <w:tc>
                      <w:tcPr>
                        <w:tcW w:w="3050" w:type="dxa"/>
                        <w:noWrap w:val="0"/>
                        <w:vAlign w:val="top"/>
                      </w:tcPr>
                      <w:p>
                        <w:pPr>
                          <w:widowControl w:val="0"/>
                          <w:jc w:val="both"/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bookmarkStart w:id="1" w:name="SupplierAddress"/>
                        <w:r>
                          <w:rPr>
                            <w:rFonts w:ascii="宋体" w:hAnsi="宋体" w:eastAsia="宋体" w:cs="宋体"/>
                            <w:color w:val="000000"/>
                            <w:kern w:val="2"/>
                            <w:sz w:val="20"/>
                            <w:szCs w:val="24"/>
                            <w:lang w:val="en-US" w:eastAsia="zh-CN" w:bidi="ar-SA"/>
                          </w:rPr>
                          <w:t>湖北省荆州市江陵县江陵经济开发区煤电港化产业园恒升路1号</w:t>
                        </w:r>
                        <w:bookmarkEnd w:id="1"/>
                      </w:p>
                    </w:tc>
                    <w:tc>
                      <w:tcPr>
                        <w:tcW w:w="800" w:type="dxa"/>
                        <w:noWrap w:val="0"/>
                        <w:vAlign w:val="top"/>
                      </w:tcPr>
                      <w:p>
                        <w:pPr>
                          <w:widowControl w:val="0"/>
                          <w:jc w:val="both"/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  <w:t>邮编：</w:t>
                        </w:r>
                      </w:p>
                    </w:tc>
                    <w:tc>
                      <w:tcPr>
                        <w:tcW w:w="1500" w:type="dxa"/>
                        <w:noWrap w:val="0"/>
                        <w:vAlign w:val="top"/>
                      </w:tcPr>
                      <w:p>
                        <w:pPr>
                          <w:widowControl w:val="0"/>
                          <w:jc w:val="both"/>
                          <w:rPr>
                            <w:rFonts w:hint="eastAsia" w:eastAsia="宋体"/>
                            <w:kern w:val="2"/>
                            <w:sz w:val="18"/>
                            <w:szCs w:val="18"/>
                            <w:lang w:val="en-US" w:eastAsia="zh-CN" w:bidi="ar-SA"/>
                          </w:rPr>
                        </w:pPr>
                        <w:bookmarkStart w:id="2" w:name="PostCode"/>
                        <w:r>
                          <w:rPr>
                            <w:rFonts w:ascii="宋体" w:hAnsi="宋体" w:eastAsia="宋体" w:cs="宋体"/>
                            <w:color w:val="000000"/>
                            <w:kern w:val="2"/>
                            <w:sz w:val="20"/>
                            <w:szCs w:val="24"/>
                            <w:lang w:val="en-US" w:eastAsia="zh-CN" w:bidi="ar-SA"/>
                          </w:rPr>
                          <w:t>434100</w:t>
                        </w:r>
                        <w:bookmarkEnd w:id="2"/>
                      </w:p>
                    </w:tc>
                  </w:tr>
                  <w:tr>
                    <w:tblPrEx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6275" w:type="dxa"/>
                        <w:gridSpan w:val="4"/>
                        <w:noWrap w:val="0"/>
                        <w:vAlign w:val="top"/>
                      </w:tcPr>
                      <w:p>
                        <w:pPr>
                          <w:widowControl w:val="0"/>
                          <w:jc w:val="right"/>
                          <w:rPr>
                            <w:rFonts w:hint="default" w:eastAsia="宋体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eastAsia="宋体"/>
                            <w:b/>
                            <w:bCs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  <w:t>化学事故应急咨询专线：</w:t>
                        </w:r>
                        <w:r>
                          <w:rPr>
                            <w:rFonts w:hint="eastAsia" w:eastAsia="宋体"/>
                            <w:szCs w:val="21"/>
                            <w:lang w:val="en-US" w:eastAsia="zh-CN"/>
                          </w:rPr>
                          <w:t>0534-2465119</w:t>
                        </w:r>
                      </w:p>
                    </w:tc>
                  </w:tr>
                </w:tbl>
                <w:p>
                  <w:pPr>
                    <w:spacing w:line="360" w:lineRule="auto"/>
                    <w:ind w:left="210" w:leftChars="100"/>
                    <w:jc w:val="center"/>
                    <w:rPr>
                      <w:szCs w:val="21"/>
                    </w:rPr>
                  </w:pPr>
                </w:p>
              </w:txbxContent>
            </v:textbox>
          </v:rect>
        </w:pict>
      </w:r>
      <w:r>
        <w:pict>
          <v:shape id="_x0000_s1031" o:spid="_x0000_s1031" o:spt="32" type="#_x0000_t32" style="position:absolute;left:0pt;flip:y;margin-left:1.5pt;margin-top:563.25pt;height:1.5pt;width:414.75pt;z-index:25166131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_x0000_s1028" o:spid="_x0000_s1028" o:spt="32" type="#_x0000_t32" style="position:absolute;left:0pt;flip:y;margin-left:1.5pt;margin-top:67.65pt;height:3pt;width:414.75pt;z-index:251660288;mso-width-relative:page;mso-height-relative:page;" o:connectortype="straight" filled="f" coordsize="21600,21600">
            <v:path arrowok="t"/>
            <v:fill on="f" focussize="0,0"/>
            <v:stroke weight="1.25pt"/>
            <v:imagedata o:title=""/>
            <o:lock v:ext="edit"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E3ZTNhZmRhMzJmZDEwMjNmZGZiOTQ1MDIyNTU5MmQifQ=="/>
  </w:docVars>
  <w:rsids>
    <w:rsidRoot w:val="00EE15F8"/>
    <w:rsid w:val="00013AE6"/>
    <w:rsid w:val="000A0208"/>
    <w:rsid w:val="000B521E"/>
    <w:rsid w:val="000B5534"/>
    <w:rsid w:val="000B79FA"/>
    <w:rsid w:val="000C3504"/>
    <w:rsid w:val="00113456"/>
    <w:rsid w:val="00175FF5"/>
    <w:rsid w:val="001C742D"/>
    <w:rsid w:val="002612C3"/>
    <w:rsid w:val="0034635D"/>
    <w:rsid w:val="003D293F"/>
    <w:rsid w:val="004C5F7E"/>
    <w:rsid w:val="00540AFC"/>
    <w:rsid w:val="00544815"/>
    <w:rsid w:val="00560759"/>
    <w:rsid w:val="006338F4"/>
    <w:rsid w:val="00657EE4"/>
    <w:rsid w:val="00694C1A"/>
    <w:rsid w:val="006F012C"/>
    <w:rsid w:val="007521E1"/>
    <w:rsid w:val="007C4B1D"/>
    <w:rsid w:val="00885FD4"/>
    <w:rsid w:val="00894624"/>
    <w:rsid w:val="00991988"/>
    <w:rsid w:val="00A655F5"/>
    <w:rsid w:val="00A8266D"/>
    <w:rsid w:val="00AD1CBE"/>
    <w:rsid w:val="00AE4A93"/>
    <w:rsid w:val="00AF3F46"/>
    <w:rsid w:val="00B12F26"/>
    <w:rsid w:val="00B75C38"/>
    <w:rsid w:val="00BC4645"/>
    <w:rsid w:val="00C26BE9"/>
    <w:rsid w:val="00C95D98"/>
    <w:rsid w:val="00DA6C2B"/>
    <w:rsid w:val="00EC20F5"/>
    <w:rsid w:val="00ED48B8"/>
    <w:rsid w:val="00EE15F8"/>
    <w:rsid w:val="00F30830"/>
    <w:rsid w:val="00F65240"/>
    <w:rsid w:val="00FB384E"/>
    <w:rsid w:val="00FB4582"/>
    <w:rsid w:val="00FB7248"/>
    <w:rsid w:val="00FC6544"/>
    <w:rsid w:val="2DE40AA9"/>
    <w:rsid w:val="76D0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  <o:r id="V:Rule2" type="connector" idref="#_x0000_s103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0">
    <w:name w:val="Normal_0"/>
    <w:link w:val="11"/>
    <w:uiPriority w:val="0"/>
    <w:pPr>
      <w:spacing w:before="120" w:after="240"/>
      <w:jc w:val="both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character" w:customStyle="1" w:styleId="11">
    <w:name w:val="Normal_0 Char"/>
    <w:basedOn w:val="6"/>
    <w:link w:val="10"/>
    <w:uiPriority w:val="0"/>
    <w:rPr>
      <w:rFonts w:eastAsiaTheme="minorHAns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2017-07-06T00:30:00Z</dcterms:created>
  <dc:creator>微软用户</dc:creator>
  <cp:lastModifiedBy>翔子</cp:lastModifiedBy>
  <cp:lastPrinted>2020-09-03T00:57:00Z</cp:lastPrinted>
  <dcterms:modified xsi:type="dcterms:W3CDTF">2023-03-08T06:17:00Z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894F3CFDB8F6495BA357BB2A7313387E</vt:lpwstr>
  </property>
</Properties>
</file>