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Calibri" w:hAnsi="Calibri" w:cs="Calibri"/>
          <w:b/>
          <w:sz w:val="44"/>
          <w:szCs w:val="44"/>
        </w:rPr>
      </w:pPr>
      <w:r>
        <w:rPr>
          <w:rFonts w:hint="eastAsia" w:ascii="Calibri" w:hAnsi="Calibri" w:cs="Calibri"/>
          <w:b/>
          <w:sz w:val="44"/>
          <w:szCs w:val="44"/>
        </w:rPr>
        <w:t>化学品安全技术说明书</w:t>
      </w:r>
    </w:p>
    <w:p>
      <w:pPr>
        <w:jc w:val="left"/>
        <w:rPr>
          <w:rFonts w:hint="default" w:ascii="Calibri" w:hAnsi="Calibri" w:cs="Calibri" w:eastAsiaTheme="minorEastAsia"/>
          <w:szCs w:val="21"/>
          <w:lang w:val="en-US" w:eastAsia="zh-CN"/>
        </w:rPr>
      </w:pPr>
      <w:r>
        <w:rPr>
          <w:rFonts w:hint="eastAsia" w:ascii="Calibri" w:hAnsi="Calibri" w:cs="Calibri"/>
          <w:szCs w:val="21"/>
        </w:rPr>
        <w:t>修订日期：202</w:t>
      </w:r>
      <w:r>
        <w:rPr>
          <w:rFonts w:hint="eastAsia" w:ascii="Calibri" w:hAnsi="Calibri" w:cs="Calibri"/>
          <w:szCs w:val="21"/>
          <w:lang w:val="en-US" w:eastAsia="zh-CN"/>
        </w:rPr>
        <w:t>3</w:t>
      </w:r>
      <w:r>
        <w:rPr>
          <w:rFonts w:hint="eastAsia" w:ascii="Calibri" w:hAnsi="Calibri" w:cs="Calibri"/>
          <w:szCs w:val="21"/>
        </w:rPr>
        <w:t>/</w:t>
      </w:r>
      <w:r>
        <w:rPr>
          <w:rFonts w:hint="eastAsia" w:ascii="Calibri" w:hAnsi="Calibri" w:cs="Calibri"/>
          <w:szCs w:val="21"/>
          <w:lang w:val="en-US" w:eastAsia="zh-CN"/>
        </w:rPr>
        <w:t>2</w:t>
      </w:r>
      <w:r>
        <w:rPr>
          <w:rFonts w:hint="eastAsia" w:ascii="Calibri" w:hAnsi="Calibri" w:cs="Calibri"/>
          <w:szCs w:val="21"/>
        </w:rPr>
        <w:t>/</w:t>
      </w:r>
      <w:r>
        <w:rPr>
          <w:rFonts w:hint="eastAsia" w:ascii="Calibri" w:hAnsi="Calibri" w:cs="Calibri"/>
          <w:szCs w:val="21"/>
          <w:lang w:val="en-US" w:eastAsia="zh-CN"/>
        </w:rPr>
        <w:t>1</w:t>
      </w:r>
      <w:r>
        <w:rPr>
          <w:rFonts w:hint="eastAsia" w:ascii="Calibri" w:hAnsi="Calibri" w:cs="Calibri"/>
          <w:szCs w:val="21"/>
        </w:rPr>
        <w:t xml:space="preserve">                               </w:t>
      </w:r>
      <w:r>
        <w:rPr>
          <w:rFonts w:hint="eastAsia" w:ascii="Calibri" w:hAnsi="Calibri" w:cs="Calibri"/>
          <w:szCs w:val="21"/>
          <w:lang w:val="en-US" w:eastAsia="zh-CN"/>
        </w:rPr>
        <w:t xml:space="preserve"> </w:t>
      </w:r>
      <w:r>
        <w:rPr>
          <w:rFonts w:hint="eastAsia" w:ascii="Calibri" w:hAnsi="Calibri" w:cs="Calibri"/>
          <w:szCs w:val="21"/>
        </w:rPr>
        <w:t xml:space="preserve"> SDS编号：HLHS/SDS-0</w:t>
      </w:r>
      <w:r>
        <w:rPr>
          <w:rFonts w:hint="eastAsia" w:ascii="Calibri" w:hAnsi="Calibri" w:cs="Calibri"/>
          <w:szCs w:val="21"/>
          <w:lang w:val="en-US" w:eastAsia="zh-CN"/>
        </w:rPr>
        <w:t>15</w:t>
      </w:r>
    </w:p>
    <w:p>
      <w:pPr>
        <w:jc w:val="left"/>
        <w:rPr>
          <w:rFonts w:ascii="Calibri" w:hAnsi="Calibri" w:cs="Calibri"/>
          <w:szCs w:val="21"/>
        </w:rPr>
      </w:pPr>
      <w:r>
        <w:rPr>
          <w:rFonts w:hint="eastAsia" w:ascii="Calibri" w:hAnsi="Calibri" w:cs="Calibri"/>
          <w:szCs w:val="21"/>
        </w:rPr>
        <w:t xml:space="preserve">产品名称：乙酸                                     版本：HLHS </w:t>
      </w:r>
      <w:r>
        <w:rPr>
          <w:rFonts w:hint="eastAsia" w:ascii="Calibri" w:hAnsi="Calibri" w:cs="Calibri"/>
          <w:szCs w:val="21"/>
          <w:lang w:val="en-US" w:eastAsia="zh-CN"/>
        </w:rPr>
        <w:t>1</w:t>
      </w:r>
      <w:r>
        <w:rPr>
          <w:rFonts w:hint="eastAsia" w:ascii="Calibri" w:hAnsi="Calibri" w:cs="Calibri"/>
          <w:szCs w:val="21"/>
        </w:rPr>
        <w:t>.0</w:t>
      </w:r>
    </w:p>
    <w:p>
      <w:pPr>
        <w:spacing w:line="360" w:lineRule="auto"/>
        <w:jc w:val="center"/>
        <w:rPr>
          <w:rFonts w:ascii="Calibri" w:hAnsi="Calibri" w:cs="Calibri"/>
          <w:b/>
          <w:sz w:val="28"/>
          <w:szCs w:val="28"/>
        </w:rPr>
      </w:pPr>
      <w:r>
        <w:rPr>
          <w:rFonts w:ascii="Calibri" w:hAnsi="Calibri" w:cs="Calibri"/>
          <w:b/>
          <w:sz w:val="28"/>
          <w:szCs w:val="28"/>
        </w:rPr>
        <w:t>第一部分 化学品及企业标识</w:t>
      </w:r>
    </w:p>
    <w:p>
      <w:pPr>
        <w:spacing w:line="360" w:lineRule="auto"/>
        <w:jc w:val="left"/>
        <w:rPr>
          <w:rFonts w:ascii="Calibri" w:hAnsi="Calibri" w:cs="Calibri"/>
          <w:szCs w:val="21"/>
        </w:rPr>
      </w:pPr>
      <w:r>
        <w:rPr>
          <w:rFonts w:hint="eastAsia" w:ascii="Calibri" w:hAnsi="Calibri" w:cs="Calibri"/>
          <w:b/>
          <w:sz w:val="24"/>
          <w:szCs w:val="24"/>
        </w:rPr>
        <w:t>化学品中文名：</w:t>
      </w:r>
      <w:r>
        <w:rPr>
          <w:rFonts w:hint="eastAsia" w:ascii="Calibri" w:hAnsi="Calibri" w:cs="Calibri"/>
          <w:sz w:val="22"/>
        </w:rPr>
        <w:t>乙酸；醋酸；冰醋酸</w:t>
      </w:r>
    </w:p>
    <w:p>
      <w:pPr>
        <w:spacing w:line="360" w:lineRule="auto"/>
        <w:jc w:val="left"/>
        <w:rPr>
          <w:rFonts w:ascii="Calibri" w:hAnsi="Calibri" w:cs="Calibri"/>
          <w:sz w:val="22"/>
        </w:rPr>
      </w:pPr>
      <w:r>
        <w:rPr>
          <w:rFonts w:ascii="Calibri" w:hAnsi="Calibri" w:cs="Calibri"/>
          <w:b/>
          <w:sz w:val="24"/>
          <w:szCs w:val="24"/>
        </w:rPr>
        <w:drawing>
          <wp:anchor distT="0" distB="0" distL="114300" distR="114300" simplePos="0" relativeHeight="251659264" behindDoc="0" locked="0" layoutInCell="1" allowOverlap="1">
            <wp:simplePos x="0" y="0"/>
            <wp:positionH relativeFrom="column">
              <wp:posOffset>3810000</wp:posOffset>
            </wp:positionH>
            <wp:positionV relativeFrom="paragraph">
              <wp:posOffset>87630</wp:posOffset>
            </wp:positionV>
            <wp:extent cx="609600" cy="638175"/>
            <wp:effectExtent l="0" t="0" r="0" b="0"/>
            <wp:wrapSquare wrapText="bothSides"/>
            <wp:docPr id="2" name="图片 2" descr="C:\Users\ADMINI~1\AppData\Local\Temp\158821553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1588215534(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09600" cy="638175"/>
                    </a:xfrm>
                    <a:prstGeom prst="rect">
                      <a:avLst/>
                    </a:prstGeom>
                    <a:noFill/>
                    <a:ln>
                      <a:noFill/>
                    </a:ln>
                  </pic:spPr>
                </pic:pic>
              </a:graphicData>
            </a:graphic>
          </wp:anchor>
        </w:drawing>
      </w:r>
      <w:r>
        <w:rPr>
          <w:rFonts w:hint="eastAsia" w:ascii="Calibri" w:hAnsi="Calibri" w:cs="Calibri"/>
          <w:b/>
          <w:sz w:val="24"/>
          <w:szCs w:val="24"/>
        </w:rPr>
        <w:t>化学品英文名：</w:t>
      </w:r>
      <w:r>
        <w:rPr>
          <w:rFonts w:hint="eastAsia" w:ascii="Calibri" w:hAnsi="Calibri" w:cs="Calibri"/>
          <w:sz w:val="22"/>
        </w:rPr>
        <w:t>acetic acid；glacial acetic acid；vinegar acid</w:t>
      </w:r>
    </w:p>
    <w:p>
      <w:pPr>
        <w:spacing w:line="360" w:lineRule="auto"/>
        <w:jc w:val="left"/>
        <w:rPr>
          <w:rFonts w:ascii="Calibri" w:hAnsi="Calibri" w:cs="Calibri"/>
          <w:b/>
          <w:sz w:val="24"/>
          <w:szCs w:val="24"/>
        </w:rPr>
      </w:pPr>
      <w:r>
        <w:rPr>
          <w:rFonts w:hint="eastAsia" w:ascii="Calibri" w:hAnsi="Calibri" w:cs="Calibri"/>
          <w:b/>
          <w:sz w:val="24"/>
          <w:szCs w:val="24"/>
        </w:rPr>
        <w:t>分子式：</w:t>
      </w:r>
      <w:r>
        <w:rPr>
          <w:rFonts w:hint="eastAsia" w:ascii="Calibri" w:hAnsi="Calibri" w:cs="Calibri"/>
          <w:sz w:val="22"/>
        </w:rPr>
        <w:t>C</w:t>
      </w:r>
      <w:r>
        <w:rPr>
          <w:rFonts w:hint="eastAsia" w:ascii="Calibri" w:hAnsi="Calibri" w:cs="Calibri"/>
          <w:sz w:val="22"/>
          <w:vertAlign w:val="subscript"/>
        </w:rPr>
        <w:t>2</w:t>
      </w:r>
      <w:r>
        <w:rPr>
          <w:rFonts w:hint="eastAsia" w:ascii="Calibri" w:hAnsi="Calibri" w:cs="Calibri"/>
          <w:sz w:val="22"/>
        </w:rPr>
        <w:t>H</w:t>
      </w:r>
      <w:r>
        <w:rPr>
          <w:rFonts w:hint="eastAsia" w:ascii="Calibri" w:hAnsi="Calibri" w:cs="Calibri"/>
          <w:sz w:val="22"/>
          <w:vertAlign w:val="subscript"/>
        </w:rPr>
        <w:t>4</w:t>
      </w:r>
      <w:r>
        <w:rPr>
          <w:rFonts w:hint="eastAsia" w:ascii="Calibri" w:hAnsi="Calibri" w:cs="Calibri"/>
          <w:sz w:val="22"/>
        </w:rPr>
        <w:t>O</w:t>
      </w:r>
      <w:r>
        <w:rPr>
          <w:rFonts w:hint="eastAsia" w:ascii="Calibri" w:hAnsi="Calibri" w:cs="Calibri"/>
          <w:sz w:val="22"/>
          <w:vertAlign w:val="subscript"/>
        </w:rPr>
        <w:t>2</w:t>
      </w:r>
      <w:r>
        <w:rPr>
          <w:rFonts w:hint="eastAsia" w:ascii="Calibri" w:hAnsi="Calibri" w:cs="Calibri"/>
          <w:sz w:val="22"/>
        </w:rPr>
        <w:t xml:space="preserve"> </w:t>
      </w:r>
      <w:r>
        <w:rPr>
          <w:rFonts w:hint="eastAsia" w:ascii="Calibri" w:hAnsi="Calibri" w:cs="Calibri"/>
          <w:b/>
          <w:sz w:val="24"/>
          <w:szCs w:val="24"/>
        </w:rPr>
        <w:t xml:space="preserve">  相对分子质量：</w:t>
      </w:r>
      <w:r>
        <w:rPr>
          <w:rFonts w:hint="eastAsia" w:ascii="Calibri" w:hAnsi="Calibri" w:cs="Calibri"/>
          <w:sz w:val="22"/>
        </w:rPr>
        <w:t xml:space="preserve">60.06 </w:t>
      </w:r>
      <w:r>
        <w:rPr>
          <w:rFonts w:hint="eastAsia" w:ascii="Calibri" w:hAnsi="Calibri" w:cs="Calibri"/>
          <w:b/>
          <w:sz w:val="24"/>
          <w:szCs w:val="24"/>
        </w:rPr>
        <w:t xml:space="preserve">   结构式：</w:t>
      </w:r>
    </w:p>
    <w:p>
      <w:pPr>
        <w:spacing w:line="360" w:lineRule="auto"/>
        <w:jc w:val="left"/>
        <w:rPr>
          <w:rFonts w:ascii="Calibri" w:hAnsi="Calibri" w:cs="Calibri"/>
          <w:b/>
          <w:sz w:val="24"/>
          <w:szCs w:val="24"/>
        </w:rPr>
      </w:pPr>
      <w:r>
        <w:rPr>
          <w:rFonts w:hint="eastAsia" w:ascii="Calibri" w:hAnsi="Calibri" w:cs="Calibri"/>
          <w:b/>
          <w:sz w:val="24"/>
          <w:szCs w:val="24"/>
        </w:rPr>
        <w:t>企业名称：</w:t>
      </w:r>
      <w:r>
        <w:rPr>
          <w:rFonts w:hint="eastAsia" w:ascii="Calibri" w:hAnsi="Calibri" w:cs="Calibri"/>
          <w:sz w:val="22"/>
        </w:rPr>
        <w:t>华鲁恒升</w:t>
      </w:r>
      <w:r>
        <w:rPr>
          <w:rFonts w:hint="eastAsia" w:ascii="Calibri" w:hAnsi="Calibri" w:cs="Calibri"/>
          <w:sz w:val="22"/>
          <w:lang w:eastAsia="zh-CN"/>
        </w:rPr>
        <w:t>（</w:t>
      </w:r>
      <w:r>
        <w:rPr>
          <w:rFonts w:hint="eastAsia" w:ascii="Calibri" w:hAnsi="Calibri" w:cs="Calibri"/>
          <w:sz w:val="22"/>
          <w:lang w:val="en-US" w:eastAsia="zh-CN"/>
        </w:rPr>
        <w:t>荆州</w:t>
      </w:r>
      <w:r>
        <w:rPr>
          <w:rFonts w:hint="eastAsia" w:ascii="Calibri" w:hAnsi="Calibri" w:cs="Calibri"/>
          <w:sz w:val="22"/>
          <w:lang w:eastAsia="zh-CN"/>
        </w:rPr>
        <w:t>）</w:t>
      </w:r>
      <w:r>
        <w:rPr>
          <w:rFonts w:hint="eastAsia" w:ascii="Calibri" w:hAnsi="Calibri" w:cs="Calibri"/>
          <w:sz w:val="22"/>
        </w:rPr>
        <w:t>有限公司</w:t>
      </w:r>
    </w:p>
    <w:p>
      <w:pPr>
        <w:spacing w:line="360" w:lineRule="auto"/>
        <w:jc w:val="left"/>
        <w:rPr>
          <w:rFonts w:ascii="Calibri" w:hAnsi="Calibri" w:cs="Calibri"/>
          <w:szCs w:val="21"/>
        </w:rPr>
      </w:pPr>
      <w:r>
        <w:rPr>
          <w:rFonts w:hint="eastAsia" w:ascii="Calibri" w:hAnsi="Calibri" w:cs="Calibri"/>
          <w:b/>
          <w:sz w:val="24"/>
          <w:szCs w:val="24"/>
        </w:rPr>
        <w:t>企业地址：</w:t>
      </w:r>
      <w:bookmarkStart w:id="0" w:name="SupplierAddress"/>
      <w:r>
        <w:rPr>
          <w:rFonts w:ascii="宋体" w:hAnsi="宋体" w:eastAsia="宋体" w:cs="宋体"/>
          <w:color w:val="000000"/>
          <w:sz w:val="22"/>
        </w:rPr>
        <w:t>湖北省荆州市江陵县江陵经济开发区煤电港化产业园恒升路1号</w:t>
      </w:r>
      <w:bookmarkEnd w:id="0"/>
    </w:p>
    <w:p>
      <w:pPr>
        <w:spacing w:line="360" w:lineRule="auto"/>
        <w:jc w:val="left"/>
        <w:rPr>
          <w:rFonts w:ascii="Calibri" w:hAnsi="Calibri" w:cs="Calibri"/>
          <w:szCs w:val="21"/>
        </w:rPr>
      </w:pPr>
      <w:r>
        <w:rPr>
          <w:rFonts w:hint="eastAsia" w:ascii="Calibri" w:hAnsi="Calibri" w:cs="Calibri"/>
          <w:b/>
          <w:sz w:val="24"/>
          <w:szCs w:val="24"/>
        </w:rPr>
        <w:t>邮    编：</w:t>
      </w:r>
      <w:r>
        <w:rPr>
          <w:rFonts w:hint="eastAsia" w:ascii="Calibri" w:hAnsi="Calibri" w:cs="Calibri"/>
          <w:sz w:val="22"/>
          <w:lang w:val="en-US" w:eastAsia="zh-CN"/>
        </w:rPr>
        <w:t>434100</w:t>
      </w:r>
      <w:r>
        <w:rPr>
          <w:rFonts w:hint="eastAsia" w:ascii="Calibri" w:hAnsi="Calibri" w:cs="Calibri"/>
          <w:sz w:val="22"/>
        </w:rPr>
        <w:t xml:space="preserve">    </w:t>
      </w:r>
      <w:r>
        <w:rPr>
          <w:rFonts w:hint="eastAsia" w:ascii="Calibri" w:hAnsi="Calibri" w:cs="Calibri"/>
          <w:szCs w:val="21"/>
        </w:rPr>
        <w:t xml:space="preserve">                           </w:t>
      </w:r>
      <w:r>
        <w:rPr>
          <w:rFonts w:hint="eastAsia" w:ascii="Calibri" w:hAnsi="Calibri" w:cs="Calibri"/>
          <w:b/>
          <w:sz w:val="24"/>
          <w:szCs w:val="24"/>
        </w:rPr>
        <w:t>传    真：</w:t>
      </w:r>
    </w:p>
    <w:p>
      <w:pPr>
        <w:spacing w:line="360" w:lineRule="auto"/>
        <w:jc w:val="left"/>
        <w:rPr>
          <w:rFonts w:ascii="Calibri" w:hAnsi="Calibri" w:cs="Calibri"/>
          <w:szCs w:val="21"/>
        </w:rPr>
      </w:pPr>
      <w:r>
        <w:rPr>
          <w:rFonts w:hint="eastAsia" w:ascii="Calibri" w:hAnsi="Calibri" w:cs="Calibri"/>
          <w:b/>
          <w:sz w:val="24"/>
          <w:szCs w:val="24"/>
        </w:rPr>
        <w:t>联系电话：</w:t>
      </w:r>
      <w:r>
        <w:rPr>
          <w:rFonts w:hint="eastAsia" w:eastAsia="宋体"/>
          <w:szCs w:val="21"/>
          <w:lang w:val="en-US" w:eastAsia="zh-CN"/>
        </w:rPr>
        <w:t>0716-4155938</w:t>
      </w:r>
    </w:p>
    <w:p>
      <w:pPr>
        <w:spacing w:line="360" w:lineRule="auto"/>
        <w:jc w:val="left"/>
        <w:rPr>
          <w:rFonts w:ascii="Calibri" w:hAnsi="Calibri" w:cs="Calibri"/>
          <w:szCs w:val="21"/>
        </w:rPr>
      </w:pPr>
      <w:r>
        <w:rPr>
          <w:rFonts w:hint="eastAsia" w:ascii="Calibri" w:hAnsi="Calibri" w:cs="Calibri"/>
          <w:b/>
          <w:sz w:val="24"/>
          <w:szCs w:val="24"/>
        </w:rPr>
        <w:t>电子邮件地址：</w:t>
      </w:r>
      <w:r>
        <w:rPr>
          <w:rFonts w:hint="eastAsia" w:ascii="Calibri" w:hAnsi="Calibri" w:cs="Calibri"/>
          <w:sz w:val="22"/>
        </w:rPr>
        <w:t>hlhs</w:t>
      </w:r>
      <w:r>
        <w:rPr>
          <w:rFonts w:hint="eastAsia" w:ascii="Calibri" w:hAnsi="Calibri" w:cs="Calibri"/>
          <w:sz w:val="22"/>
          <w:lang w:val="en-US" w:eastAsia="zh-CN"/>
        </w:rPr>
        <w:t>jz</w:t>
      </w:r>
      <w:r>
        <w:rPr>
          <w:rFonts w:hint="eastAsia" w:ascii="Calibri" w:hAnsi="Calibri" w:cs="Calibri"/>
          <w:sz w:val="22"/>
        </w:rPr>
        <w:t>@126.com</w:t>
      </w:r>
    </w:p>
    <w:p>
      <w:pPr>
        <w:spacing w:line="360" w:lineRule="auto"/>
        <w:jc w:val="left"/>
        <w:rPr>
          <w:rFonts w:ascii="Calibri" w:hAnsi="Calibri" w:cs="Calibri"/>
          <w:szCs w:val="21"/>
        </w:rPr>
      </w:pPr>
      <w:r>
        <w:rPr>
          <w:rFonts w:hint="eastAsia" w:ascii="Calibri" w:hAnsi="Calibri" w:cs="Calibri"/>
          <w:b/>
          <w:sz w:val="24"/>
          <w:szCs w:val="24"/>
        </w:rPr>
        <w:t>企业应急电话：</w:t>
      </w:r>
      <w:r>
        <w:rPr>
          <w:rFonts w:hint="eastAsia" w:eastAsia="宋体"/>
          <w:szCs w:val="21"/>
          <w:lang w:val="en-US" w:eastAsia="zh-CN"/>
        </w:rPr>
        <w:t>0534-2465119</w:t>
      </w:r>
      <w:bookmarkStart w:id="1" w:name="_GoBack"/>
      <w:bookmarkEnd w:id="1"/>
    </w:p>
    <w:p>
      <w:pPr>
        <w:spacing w:line="360" w:lineRule="auto"/>
        <w:ind w:left="1205" w:hanging="1205" w:hangingChars="500"/>
        <w:jc w:val="left"/>
        <w:rPr>
          <w:rFonts w:ascii="Calibri" w:hAnsi="Calibri" w:cs="Calibri"/>
          <w:sz w:val="22"/>
        </w:rPr>
      </w:pPr>
      <w:r>
        <w:rPr>
          <w:rFonts w:hint="eastAsia" w:ascii="Calibri" w:hAnsi="Calibri" w:cs="Calibri"/>
          <w:b/>
          <w:sz w:val="24"/>
          <w:szCs w:val="24"/>
        </w:rPr>
        <w:t>产品推荐及限制用途：</w:t>
      </w:r>
      <w:r>
        <w:rPr>
          <w:rFonts w:hint="eastAsia" w:ascii="Calibri" w:hAnsi="Calibri" w:cs="Calibri"/>
          <w:sz w:val="22"/>
        </w:rPr>
        <w:t>用于制造醋酸盐、醋酸纤维素、医药、颜料、酯类、塑料、香  料等</w:t>
      </w:r>
    </w:p>
    <w:p>
      <w:pPr>
        <w:spacing w:line="360" w:lineRule="auto"/>
        <w:jc w:val="center"/>
        <w:rPr>
          <w:rFonts w:ascii="Calibri" w:hAnsi="Calibri" w:cs="Calibri"/>
          <w:sz w:val="22"/>
        </w:rPr>
      </w:pPr>
      <w:r>
        <w:rPr>
          <w:rFonts w:hint="eastAsia" w:ascii="Calibri" w:hAnsi="Calibri" w:cs="Calibri"/>
          <w:b/>
          <w:sz w:val="28"/>
          <w:szCs w:val="28"/>
        </w:rPr>
        <w:t>第二部分 危险性概述</w:t>
      </w:r>
    </w:p>
    <w:p>
      <w:pPr>
        <w:pStyle w:val="10"/>
        <w:spacing w:before="0" w:after="0" w:line="360" w:lineRule="auto"/>
        <w:ind w:left="1205" w:hanging="1205" w:hangingChars="500"/>
        <w:jc w:val="left"/>
        <w:rPr>
          <w:rFonts w:ascii="Calibri" w:hAnsi="Calibri" w:cs="Calibri" w:eastAsiaTheme="minorEastAsia"/>
          <w:kern w:val="2"/>
          <w:lang w:eastAsia="zh-CN"/>
        </w:rPr>
      </w:pPr>
      <w:r>
        <w:rPr>
          <w:rFonts w:hint="eastAsia" w:ascii="Calibri" w:hAnsi="Calibri" w:cs="Calibri" w:eastAsiaTheme="minorEastAsia"/>
          <w:b/>
          <w:kern w:val="2"/>
          <w:sz w:val="24"/>
          <w:szCs w:val="24"/>
          <w:lang w:eastAsia="zh-CN"/>
        </w:rPr>
        <w:t>紧急情况概述：</w:t>
      </w:r>
      <w:r>
        <w:rPr>
          <w:rFonts w:hint="eastAsia" w:ascii="Calibri" w:hAnsi="Calibri" w:cs="Calibri" w:eastAsiaTheme="minorEastAsia"/>
          <w:kern w:val="2"/>
          <w:lang w:eastAsia="zh-CN"/>
        </w:rPr>
        <w:t>易燃液体和蒸气，造成严重的皮肤灼伤和眼损伤</w:t>
      </w:r>
    </w:p>
    <w:p>
      <w:pPr>
        <w:pStyle w:val="10"/>
        <w:spacing w:before="0" w:after="0" w:line="360" w:lineRule="auto"/>
        <w:ind w:left="1205" w:hanging="1205" w:hangingChars="500"/>
        <w:jc w:val="left"/>
        <w:rPr>
          <w:rFonts w:ascii="Calibri" w:hAnsi="Calibri" w:cs="Calibri" w:eastAsiaTheme="minorEastAsia"/>
          <w:kern w:val="2"/>
          <w:lang w:eastAsia="zh-CN"/>
        </w:rPr>
      </w:pPr>
      <w:r>
        <w:rPr>
          <w:rFonts w:ascii="Calibri" w:hAnsi="Calibri" w:cs="Calibri" w:eastAsiaTheme="minorEastAsia"/>
          <w:b/>
          <w:kern w:val="2"/>
          <w:sz w:val="24"/>
          <w:szCs w:val="24"/>
          <w:lang w:eastAsia="zh-CN"/>
        </w:rPr>
        <w:t>GHS 危险性类别：</w:t>
      </w:r>
      <w:r>
        <w:rPr>
          <w:rFonts w:ascii="Calibri" w:hAnsi="Calibri" w:cs="Calibri" w:eastAsiaTheme="minorEastAsia"/>
          <w:kern w:val="2"/>
          <w:lang w:eastAsia="zh-CN"/>
        </w:rPr>
        <w:t>根据</w:t>
      </w:r>
      <w:r>
        <w:rPr>
          <w:rFonts w:hint="eastAsia" w:ascii="Calibri" w:hAnsi="Calibri" w:cs="Calibri" w:eastAsiaTheme="minorEastAsia"/>
          <w:kern w:val="2"/>
          <w:lang w:eastAsia="zh-CN"/>
        </w:rPr>
        <w:t>化学品分类和标签规范</w:t>
      </w:r>
      <w:r>
        <w:rPr>
          <w:rFonts w:ascii="Calibri" w:hAnsi="Calibri" w:cs="Calibri" w:eastAsiaTheme="minorEastAsia"/>
          <w:kern w:val="2"/>
          <w:lang w:eastAsia="zh-CN"/>
        </w:rPr>
        <w:t>系列标准（参阅</w:t>
      </w:r>
      <w:r>
        <w:rPr>
          <w:rFonts w:hint="eastAsia" w:ascii="Calibri" w:hAnsi="Calibri" w:cs="Calibri" w:eastAsiaTheme="minorEastAsia"/>
          <w:kern w:val="2"/>
          <w:lang w:eastAsia="zh-CN"/>
        </w:rPr>
        <w:t>第</w:t>
      </w:r>
      <w:r>
        <w:rPr>
          <w:rFonts w:ascii="Calibri" w:hAnsi="Calibri" w:cs="Calibri" w:eastAsiaTheme="minorEastAsia"/>
          <w:kern w:val="2"/>
          <w:lang w:eastAsia="zh-CN"/>
        </w:rPr>
        <w:t>十</w:t>
      </w:r>
      <w:r>
        <w:rPr>
          <w:rFonts w:hint="eastAsia" w:ascii="Calibri" w:hAnsi="Calibri" w:cs="Calibri" w:eastAsiaTheme="minorEastAsia"/>
          <w:kern w:val="2"/>
          <w:lang w:eastAsia="zh-CN"/>
        </w:rPr>
        <w:t>五部分），该产品属于易燃液体，类别 3；皮肤腐蚀/刺激，类别 1A；严重眼损伤/眼睛刺激性，类别 1</w:t>
      </w:r>
    </w:p>
    <w:p>
      <w:pPr>
        <w:pStyle w:val="10"/>
        <w:spacing w:before="0" w:after="0" w:line="360" w:lineRule="auto"/>
        <w:ind w:left="1205" w:hanging="1205" w:hangingChars="500"/>
        <w:jc w:val="left"/>
        <w:rPr>
          <w:rFonts w:ascii="Calibri" w:hAnsi="Calibri" w:cs="Calibri" w:eastAsiaTheme="minorEastAsia"/>
          <w:kern w:val="2"/>
          <w:lang w:eastAsia="zh-CN"/>
        </w:rPr>
      </w:pPr>
      <w:r>
        <w:rPr>
          <w:rFonts w:hint="eastAsia" w:ascii="Calibri" w:hAnsi="Calibri" w:cs="Calibri" w:eastAsiaTheme="minorEastAsia"/>
          <w:b/>
          <w:kern w:val="2"/>
          <w:sz w:val="24"/>
          <w:szCs w:val="24"/>
          <w:lang w:eastAsia="zh-CN"/>
        </w:rPr>
        <w:t>标签要素：</w:t>
      </w:r>
    </w:p>
    <w:p>
      <w:pPr>
        <w:pStyle w:val="10"/>
        <w:spacing w:before="225" w:after="0" w:line="360" w:lineRule="auto"/>
        <w:ind w:left="1084" w:hanging="1084" w:hangingChars="450"/>
        <w:jc w:val="left"/>
        <w:rPr>
          <w:rFonts w:ascii="宋体" w:hAnsi="宋体" w:eastAsia="宋体" w:cs="宋体"/>
          <w:snapToGrid w:val="0"/>
          <w:color w:val="000000"/>
          <w:lang w:eastAsia="zh-CN"/>
        </w:rPr>
      </w:pPr>
      <w:r>
        <w:rPr>
          <w:rFonts w:hint="eastAsia" w:ascii="Calibri" w:hAnsi="Calibri" w:cs="Calibri" w:eastAsiaTheme="minorEastAsia"/>
          <w:b/>
          <w:kern w:val="2"/>
          <w:sz w:val="24"/>
          <w:szCs w:val="24"/>
          <w:lang w:eastAsia="zh-CN"/>
        </w:rPr>
        <w:t xml:space="preserve">       </w:t>
      </w:r>
      <w:r>
        <w:rPr>
          <w:rFonts w:hint="eastAsia" w:ascii="宋体" w:hAnsi="宋体" w:eastAsia="宋体" w:cs="宋体"/>
          <w:snapToGrid w:val="0"/>
          <w:color w:val="000000"/>
          <w:lang w:eastAsia="zh-CN"/>
        </w:rPr>
        <w:t xml:space="preserve">   象形图：</w:t>
      </w:r>
    </w:p>
    <w:p>
      <w:pPr>
        <w:pStyle w:val="10"/>
        <w:spacing w:before="0" w:after="0" w:line="360" w:lineRule="auto"/>
        <w:ind w:left="1084" w:hanging="1084" w:hangingChars="450"/>
        <w:jc w:val="left"/>
        <w:rPr>
          <w:rFonts w:ascii="宋体" w:hAnsi="宋体" w:eastAsia="宋体" w:cs="宋体"/>
          <w:snapToGrid w:val="0"/>
          <w:color w:val="000000"/>
          <w:lang w:eastAsia="zh-CN"/>
        </w:rPr>
      </w:pPr>
      <w:r>
        <w:rPr>
          <w:rFonts w:hint="eastAsia" w:ascii="Calibri" w:hAnsi="Calibri" w:cs="Calibri" w:eastAsiaTheme="minorEastAsia"/>
          <w:b/>
          <w:kern w:val="2"/>
          <w:sz w:val="24"/>
          <w:szCs w:val="24"/>
          <w:lang w:eastAsia="zh-CN"/>
        </w:rPr>
        <w:t xml:space="preserve">              </w:t>
      </w:r>
      <w:r>
        <w:rPr>
          <w:rFonts w:ascii="仿宋_GB2312" w:eastAsia="仿宋_GB2312"/>
          <w:color w:val="253B74"/>
          <w:sz w:val="28"/>
          <w:szCs w:val="28"/>
          <w:lang w:eastAsia="zh-CN"/>
        </w:rPr>
        <w:drawing>
          <wp:inline distT="0" distB="0" distL="0" distR="0">
            <wp:extent cx="935355" cy="935990"/>
            <wp:effectExtent l="19050" t="0" r="0" b="0"/>
            <wp:docPr id="1" name="图片 2" descr="http://www.unece.org/trans/danger/publi/ghs/pictograms/flamm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http://www.unece.org/trans/danger/publi/ghs/pictograms/flamme.gif"/>
                    <pic:cNvPicPr>
                      <a:picLocks noChangeAspect="1" noChangeArrowheads="1"/>
                    </pic:cNvPicPr>
                  </pic:nvPicPr>
                  <pic:blipFill>
                    <a:blip r:embed="rId9"/>
                    <a:srcRect/>
                    <a:stretch>
                      <a:fillRect/>
                    </a:stretch>
                  </pic:blipFill>
                  <pic:spPr>
                    <a:xfrm>
                      <a:off x="0" y="0"/>
                      <a:ext cx="935388" cy="936000"/>
                    </a:xfrm>
                    <a:prstGeom prst="rect">
                      <a:avLst/>
                    </a:prstGeom>
                    <a:noFill/>
                    <a:ln w="9525">
                      <a:noFill/>
                      <a:miter lim="800000"/>
                      <a:headEnd/>
                      <a:tailEnd/>
                    </a:ln>
                  </pic:spPr>
                </pic:pic>
              </a:graphicData>
            </a:graphic>
          </wp:inline>
        </w:drawing>
      </w:r>
      <w:r>
        <w:rPr>
          <w:rFonts w:hint="eastAsia" w:ascii="宋体" w:hAnsi="宋体" w:eastAsia="宋体" w:cs="宋体"/>
          <w:snapToGrid w:val="0"/>
          <w:color w:val="000000"/>
          <w:lang w:eastAsia="zh-CN"/>
        </w:rPr>
        <w:t xml:space="preserve"> </w:t>
      </w:r>
      <w:r>
        <w:rPr>
          <w:rFonts w:ascii="仿宋_GB2312" w:eastAsia="仿宋_GB2312"/>
          <w:color w:val="253B74"/>
          <w:sz w:val="28"/>
          <w:szCs w:val="28"/>
          <w:lang w:eastAsia="zh-CN"/>
        </w:rPr>
        <w:drawing>
          <wp:inline distT="0" distB="0" distL="0" distR="0">
            <wp:extent cx="932180" cy="935990"/>
            <wp:effectExtent l="19050" t="0" r="1121" b="0"/>
            <wp:docPr id="5" name="图片 5" descr="http://www.unece.org/trans/danger/publi/ghs/pictograms/aci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http://www.unece.org/trans/danger/publi/ghs/pictograms/acid.gif"/>
                    <pic:cNvPicPr>
                      <a:picLocks noChangeAspect="1" noChangeArrowheads="1"/>
                    </pic:cNvPicPr>
                  </pic:nvPicPr>
                  <pic:blipFill>
                    <a:blip r:embed="rId10"/>
                    <a:srcRect/>
                    <a:stretch>
                      <a:fillRect/>
                    </a:stretch>
                  </pic:blipFill>
                  <pic:spPr>
                    <a:xfrm>
                      <a:off x="0" y="0"/>
                      <a:ext cx="932329" cy="936000"/>
                    </a:xfrm>
                    <a:prstGeom prst="rect">
                      <a:avLst/>
                    </a:prstGeom>
                    <a:noFill/>
                    <a:ln w="9525">
                      <a:noFill/>
                      <a:miter lim="800000"/>
                      <a:headEnd/>
                      <a:tailEnd/>
                    </a:ln>
                  </pic:spPr>
                </pic:pic>
              </a:graphicData>
            </a:graphic>
          </wp:inline>
        </w:drawing>
      </w:r>
      <w:r>
        <w:rPr>
          <w:rFonts w:ascii="仿宋_GB2312" w:eastAsia="仿宋_GB2312"/>
          <w:color w:val="253B74"/>
          <w:sz w:val="28"/>
          <w:szCs w:val="28"/>
          <w:lang w:eastAsia="zh-CN"/>
        </w:rPr>
        <w:t xml:space="preserve"> </w:t>
      </w:r>
    </w:p>
    <w:p>
      <w:pPr>
        <w:pStyle w:val="10"/>
        <w:spacing w:before="0" w:after="0" w:line="360" w:lineRule="auto"/>
        <w:ind w:left="990" w:hanging="990" w:hangingChars="450"/>
        <w:jc w:val="left"/>
        <w:rPr>
          <w:rFonts w:ascii="宋体" w:hAnsi="宋体" w:eastAsia="宋体" w:cs="宋体"/>
          <w:snapToGrid w:val="0"/>
          <w:color w:val="000000"/>
          <w:lang w:eastAsia="zh-CN"/>
        </w:rPr>
      </w:pPr>
      <w:r>
        <w:rPr>
          <w:rFonts w:hint="eastAsia" w:ascii="宋体" w:hAnsi="宋体" w:eastAsia="宋体" w:cs="宋体"/>
          <w:snapToGrid w:val="0"/>
          <w:color w:val="000000"/>
          <w:lang w:eastAsia="zh-CN"/>
        </w:rPr>
        <w:t xml:space="preserve">          警示词：危险</w:t>
      </w:r>
    </w:p>
    <w:p>
      <w:pPr>
        <w:pStyle w:val="10"/>
        <w:spacing w:before="0" w:after="0" w:line="360" w:lineRule="auto"/>
        <w:ind w:left="990" w:hanging="990" w:hangingChars="450"/>
        <w:jc w:val="left"/>
        <w:rPr>
          <w:rFonts w:ascii="Calibri" w:hAnsi="Calibri" w:cs="Calibri" w:eastAsiaTheme="minorEastAsia"/>
          <w:kern w:val="2"/>
          <w:lang w:eastAsia="zh-CN"/>
        </w:rPr>
      </w:pPr>
      <w:r>
        <w:rPr>
          <w:rFonts w:hint="eastAsia" w:ascii="宋体" w:hAnsi="宋体" w:eastAsia="宋体" w:cs="宋体"/>
          <w:snapToGrid w:val="0"/>
          <w:color w:val="000000"/>
          <w:lang w:eastAsia="zh-CN"/>
        </w:rPr>
        <w:t xml:space="preserve">          危险信息：</w:t>
      </w:r>
      <w:r>
        <w:rPr>
          <w:rFonts w:hint="eastAsia" w:ascii="Calibri" w:hAnsi="Calibri" w:cs="Calibri" w:eastAsiaTheme="minorEastAsia"/>
          <w:kern w:val="2"/>
          <w:lang w:eastAsia="zh-CN"/>
        </w:rPr>
        <w:t>易燃液体和蒸气，造成严重的皮肤灼伤和眼损伤，引起严重眼睛损伤</w:t>
      </w:r>
    </w:p>
    <w:p>
      <w:pPr>
        <w:pStyle w:val="10"/>
        <w:spacing w:before="0" w:after="0" w:line="360" w:lineRule="auto"/>
        <w:ind w:left="990" w:hanging="990" w:hangingChars="450"/>
        <w:jc w:val="left"/>
        <w:rPr>
          <w:rFonts w:ascii="宋体" w:hAnsi="宋体" w:eastAsia="宋体" w:cs="宋体"/>
          <w:snapToGrid w:val="0"/>
          <w:color w:val="000000"/>
          <w:lang w:eastAsia="zh-CN"/>
        </w:rPr>
      </w:pPr>
      <w:r>
        <w:rPr>
          <w:rFonts w:hint="eastAsia" w:ascii="宋体" w:hAnsi="宋体" w:eastAsia="宋体" w:cs="宋体"/>
          <w:snapToGrid w:val="0"/>
          <w:color w:val="000000"/>
          <w:lang w:eastAsia="zh-CN"/>
        </w:rPr>
        <w:t>防范说明：</w:t>
      </w:r>
    </w:p>
    <w:p>
      <w:pPr>
        <w:spacing w:line="360" w:lineRule="auto"/>
        <w:ind w:left="2205" w:hanging="2205" w:hangingChars="1050"/>
      </w:pPr>
      <w:r>
        <w:rPr>
          <w:rFonts w:hint="eastAsia"/>
        </w:rPr>
        <w:t xml:space="preserve">           预防措施：远离热源/火花/明火/热表面。禁止吸烟。保持容器密闭。容器和接收设备接地/连接。使用防爆电器/通风/照明设备。只能使用不产生火花的工具。采取防止静电措施。避免接触眼睛、皮肤，操作后彻底清洗。戴防护手套，穿防护服，戴防护眼睛、防护面罩</w:t>
      </w:r>
    </w:p>
    <w:p>
      <w:pPr>
        <w:spacing w:line="360" w:lineRule="auto"/>
        <w:ind w:left="2205" w:hanging="2205" w:hangingChars="1050"/>
      </w:pPr>
      <w:r>
        <w:rPr>
          <w:rFonts w:hint="eastAsia"/>
        </w:rPr>
        <w:t xml:space="preserve">          事故响应：火灾时，使用雾状水、抗溶性泡沫、干粉、二氧化碳灭火。如吸入：将患者转移到空气新鲜处，休息，保持利于呼吸的体位，立即呼叫中毒控制中心或就医。如皮肤　（或头发）接触：立即脱掉所有被污染的衣服，用水冲洗皮肤，淋浴。污染的衣服须洗净后方可重新使用。眼睛接触：用水细心地冲洗数分钟。如戴隐形眼镜并可方便地取出，则取出隐形眼镜继续冲洗。食入：漱口，不要催吐</w:t>
      </w:r>
    </w:p>
    <w:p>
      <w:pPr>
        <w:spacing w:line="360" w:lineRule="auto"/>
        <w:ind w:left="2205" w:hanging="2205" w:hangingChars="1050"/>
      </w:pPr>
      <w:r>
        <w:rPr>
          <w:rFonts w:hint="eastAsia"/>
        </w:rPr>
        <w:t xml:space="preserve">          安全储存：在阴凉、通风良好处储存。储存于抗腐蚀/有抗腐蚀内衬的容器中。上锁保管。与氧化剂、碱类、食用化学品分开存放，切忌混储</w:t>
      </w:r>
    </w:p>
    <w:p>
      <w:pPr>
        <w:spacing w:line="360" w:lineRule="auto"/>
        <w:ind w:left="2205" w:hanging="2205" w:hangingChars="1050"/>
      </w:pPr>
      <w:r>
        <w:rPr>
          <w:rFonts w:hint="eastAsia"/>
        </w:rPr>
        <w:t xml:space="preserve">         </w:t>
      </w:r>
      <w:r>
        <w:rPr>
          <w:rFonts w:hint="eastAsia"/>
          <w:kern w:val="0"/>
        </w:rPr>
        <w:t>废弃处置：本品及内装物、容器依据国家和地方法规处置</w:t>
      </w:r>
    </w:p>
    <w:p>
      <w:pPr>
        <w:spacing w:line="360" w:lineRule="auto"/>
        <w:ind w:left="1205" w:hanging="1205" w:hangingChars="500"/>
        <w:rPr>
          <w:kern w:val="0"/>
        </w:rPr>
      </w:pPr>
      <w:r>
        <w:rPr>
          <w:rFonts w:hint="eastAsia" w:ascii="Calibri" w:hAnsi="Calibri" w:cs="Calibri"/>
          <w:b/>
          <w:sz w:val="24"/>
          <w:szCs w:val="24"/>
        </w:rPr>
        <w:t>物理和化学危险：</w:t>
      </w:r>
      <w:r>
        <w:rPr>
          <w:rFonts w:hint="eastAsia"/>
          <w:kern w:val="0"/>
        </w:rPr>
        <w:t>易燃，其蒸气与空气可形成爆炸性混合物，遇明火、高热能引起燃烧爆炸。</w:t>
      </w:r>
    </w:p>
    <w:p>
      <w:pPr>
        <w:spacing w:line="360" w:lineRule="auto"/>
        <w:ind w:left="1205" w:hanging="1205" w:hangingChars="500"/>
        <w:rPr>
          <w:kern w:val="0"/>
        </w:rPr>
      </w:pPr>
      <w:r>
        <w:rPr>
          <w:rFonts w:hint="eastAsia" w:ascii="Calibri" w:hAnsi="Calibri" w:cs="Calibri"/>
          <w:b/>
          <w:sz w:val="24"/>
          <w:szCs w:val="24"/>
        </w:rPr>
        <w:t>健康危害：</w:t>
      </w:r>
      <w:r>
        <w:rPr>
          <w:rFonts w:hint="eastAsia"/>
          <w:kern w:val="0"/>
        </w:rPr>
        <w:t>吸入本品蒸气对鼻、喉和呼吸道有刺激性。眼和皮肤接触可引起灼伤。误服浓乙酸，口腔和消化道可产生糜烂，重者可因休克而致死。慢性影响：眼睑水肿、结膜充血、慢性咽炎和支气管炎。长期反复接触，可致皮肤干燥、脱脂和皮炎</w:t>
      </w:r>
    </w:p>
    <w:p>
      <w:pPr>
        <w:spacing w:line="360" w:lineRule="auto"/>
        <w:ind w:left="1205" w:hanging="1205" w:hangingChars="500"/>
        <w:rPr>
          <w:kern w:val="0"/>
        </w:rPr>
      </w:pPr>
      <w:r>
        <w:rPr>
          <w:rFonts w:hint="eastAsia" w:ascii="Calibri" w:hAnsi="Calibri" w:cs="Calibri"/>
          <w:b/>
          <w:sz w:val="24"/>
          <w:szCs w:val="24"/>
        </w:rPr>
        <w:t>环境危害：</w:t>
      </w:r>
      <w:r>
        <w:rPr>
          <w:rFonts w:hint="eastAsia"/>
          <w:kern w:val="0"/>
        </w:rPr>
        <w:t>对环境可能有害</w:t>
      </w:r>
    </w:p>
    <w:p>
      <w:pPr>
        <w:spacing w:line="360" w:lineRule="auto"/>
        <w:jc w:val="center"/>
        <w:rPr>
          <w:rFonts w:ascii="Calibri" w:hAnsi="Calibri" w:cs="Calibri"/>
          <w:b/>
          <w:sz w:val="28"/>
          <w:szCs w:val="28"/>
        </w:rPr>
      </w:pPr>
      <w:r>
        <w:rPr>
          <w:rFonts w:hint="eastAsia" w:ascii="Calibri" w:hAnsi="Calibri" w:cs="Calibri"/>
          <w:b/>
          <w:sz w:val="28"/>
          <w:szCs w:val="28"/>
        </w:rPr>
        <w:t>第三部分 成分/组成信息</w:t>
      </w:r>
    </w:p>
    <w:p>
      <w:pPr>
        <w:spacing w:line="360" w:lineRule="auto"/>
        <w:jc w:val="center"/>
        <w:rPr>
          <w:rFonts w:ascii="Calibri" w:hAnsi="Calibri" w:cs="Calibri"/>
          <w:sz w:val="24"/>
          <w:szCs w:val="24"/>
        </w:rPr>
      </w:pPr>
      <w:r>
        <w:rPr>
          <w:rFonts w:hint="eastAsia" w:ascii="Calibri" w:hAnsi="Calibri" w:cs="Calibri"/>
          <w:sz w:val="24"/>
          <w:szCs w:val="24"/>
        </w:rPr>
        <w:t>√物质                  混合物</w:t>
      </w:r>
    </w:p>
    <w:p>
      <w:pPr>
        <w:spacing w:line="360" w:lineRule="auto"/>
        <w:jc w:val="left"/>
        <w:rPr>
          <w:rFonts w:ascii="Calibri" w:hAnsi="Calibri" w:cs="Calibri"/>
          <w:b/>
          <w:sz w:val="24"/>
          <w:szCs w:val="24"/>
        </w:rPr>
      </w:pPr>
      <w:r>
        <w:rPr>
          <w:rFonts w:hint="eastAsia" w:ascii="Calibri" w:hAnsi="Calibri" w:cs="Calibri"/>
          <w:b/>
          <w:sz w:val="28"/>
          <w:szCs w:val="28"/>
        </w:rPr>
        <w:t xml:space="preserve">       </w:t>
      </w:r>
      <w:r>
        <w:rPr>
          <w:rFonts w:hint="eastAsia" w:ascii="Calibri" w:hAnsi="Calibri" w:cs="Calibri"/>
          <w:b/>
          <w:sz w:val="24"/>
          <w:szCs w:val="24"/>
        </w:rPr>
        <w:t>危险组分              浓度或浓度范围           CAS No.</w:t>
      </w:r>
    </w:p>
    <w:p>
      <w:pPr>
        <w:spacing w:line="360" w:lineRule="auto"/>
        <w:jc w:val="left"/>
        <w:rPr>
          <w:rFonts w:ascii="Calibri" w:hAnsi="Calibri" w:cs="Calibri"/>
          <w:sz w:val="22"/>
        </w:rPr>
      </w:pPr>
      <w:r>
        <w:rPr>
          <w:rFonts w:hint="eastAsia" w:ascii="Calibri" w:hAnsi="Calibri" w:cs="Calibri"/>
          <w:b/>
          <w:sz w:val="28"/>
          <w:szCs w:val="28"/>
        </w:rPr>
        <w:t xml:space="preserve">           </w:t>
      </w:r>
      <w:r>
        <w:rPr>
          <w:rFonts w:hint="eastAsia" w:ascii="Calibri" w:hAnsi="Calibri" w:cs="Calibri"/>
          <w:sz w:val="22"/>
        </w:rPr>
        <w:t>乙酸                      99.8%                  64-19-7</w:t>
      </w:r>
    </w:p>
    <w:p>
      <w:pPr>
        <w:spacing w:line="360" w:lineRule="auto"/>
        <w:jc w:val="center"/>
        <w:rPr>
          <w:rFonts w:ascii="Calibri" w:hAnsi="Calibri" w:cs="Calibri"/>
          <w:b/>
          <w:sz w:val="28"/>
          <w:szCs w:val="28"/>
        </w:rPr>
      </w:pPr>
      <w:r>
        <w:rPr>
          <w:rFonts w:hint="eastAsia" w:ascii="Calibri" w:hAnsi="Calibri" w:cs="Calibri"/>
          <w:b/>
          <w:sz w:val="28"/>
          <w:szCs w:val="28"/>
        </w:rPr>
        <w:t>第四部分 急救措施</w:t>
      </w:r>
    </w:p>
    <w:p>
      <w:pPr>
        <w:spacing w:line="360" w:lineRule="auto"/>
        <w:jc w:val="left"/>
        <w:rPr>
          <w:rFonts w:ascii="Calibri" w:hAnsi="Calibri" w:cs="Calibri"/>
          <w:b/>
          <w:sz w:val="24"/>
          <w:szCs w:val="24"/>
        </w:rPr>
      </w:pPr>
      <w:r>
        <w:rPr>
          <w:rFonts w:hint="eastAsia" w:ascii="Calibri" w:hAnsi="Calibri" w:cs="Calibri"/>
          <w:b/>
          <w:sz w:val="24"/>
          <w:szCs w:val="24"/>
        </w:rPr>
        <w:t>急救：</w:t>
      </w:r>
    </w:p>
    <w:p>
      <w:pPr>
        <w:spacing w:line="360" w:lineRule="auto"/>
        <w:ind w:left="1446" w:hanging="1446" w:hangingChars="600"/>
        <w:jc w:val="left"/>
        <w:rPr>
          <w:kern w:val="0"/>
        </w:rPr>
      </w:pPr>
      <w:r>
        <w:rPr>
          <w:rFonts w:hint="eastAsia" w:ascii="Calibri" w:hAnsi="Calibri" w:cs="Calibri"/>
          <w:b/>
          <w:sz w:val="24"/>
          <w:szCs w:val="24"/>
        </w:rPr>
        <w:t>－皮肤接触：</w:t>
      </w:r>
      <w:r>
        <w:rPr>
          <w:rFonts w:hint="eastAsia"/>
          <w:kern w:val="0"/>
        </w:rPr>
        <w:t>立即脱去污染的衣着，用大量流动清水彻底冲洗至少１５ｍｉｎ。就医</w:t>
      </w:r>
    </w:p>
    <w:p>
      <w:pPr>
        <w:spacing w:line="360" w:lineRule="auto"/>
        <w:ind w:left="1446" w:hanging="1446" w:hangingChars="600"/>
        <w:jc w:val="left"/>
        <w:rPr>
          <w:kern w:val="0"/>
        </w:rPr>
      </w:pPr>
      <w:r>
        <w:rPr>
          <w:rFonts w:hint="eastAsia" w:ascii="Calibri" w:hAnsi="Calibri" w:cs="Calibri"/>
          <w:b/>
          <w:sz w:val="24"/>
          <w:szCs w:val="24"/>
        </w:rPr>
        <w:t>－眼睛接触：</w:t>
      </w:r>
      <w:r>
        <w:rPr>
          <w:rFonts w:hint="eastAsia"/>
          <w:kern w:val="0"/>
        </w:rPr>
        <w:t>立即分开眼睑，用流动清水或生理盐水彻底冲洗５～１０ｍｉｎ。就医</w:t>
      </w:r>
    </w:p>
    <w:p>
      <w:pPr>
        <w:spacing w:line="360" w:lineRule="auto"/>
        <w:ind w:left="1446" w:hanging="1446" w:hangingChars="600"/>
        <w:jc w:val="left"/>
        <w:rPr>
          <w:kern w:val="0"/>
        </w:rPr>
      </w:pPr>
      <w:r>
        <w:rPr>
          <w:rFonts w:hint="eastAsia" w:ascii="Calibri" w:hAnsi="Calibri" w:cs="Calibri"/>
          <w:b/>
          <w:sz w:val="24"/>
          <w:szCs w:val="24"/>
        </w:rPr>
        <w:t>－吸    入：</w:t>
      </w:r>
      <w:r>
        <w:rPr>
          <w:rFonts w:hint="eastAsia"/>
          <w:kern w:val="0"/>
        </w:rPr>
        <w:t>迅速脱离现场至空气新鲜处。保持呼吸道通畅。如呼吸困难，给输氧。如呼吸、心跳停止，立即进行心肺复苏术。就医</w:t>
      </w:r>
    </w:p>
    <w:p>
      <w:pPr>
        <w:spacing w:line="360" w:lineRule="auto"/>
        <w:ind w:left="1446" w:hanging="1446" w:hangingChars="600"/>
        <w:jc w:val="left"/>
        <w:rPr>
          <w:kern w:val="0"/>
        </w:rPr>
      </w:pPr>
      <w:r>
        <w:rPr>
          <w:rFonts w:hint="eastAsia" w:ascii="Calibri" w:hAnsi="Calibri" w:cs="Calibri"/>
          <w:b/>
          <w:sz w:val="24"/>
          <w:szCs w:val="24"/>
        </w:rPr>
        <w:t>－食    入：</w:t>
      </w:r>
      <w:r>
        <w:rPr>
          <w:rFonts w:hint="eastAsia"/>
          <w:kern w:val="0"/>
        </w:rPr>
        <w:t>用水漱口，禁止催吐。给饮牛奶或蛋清。就医</w:t>
      </w:r>
    </w:p>
    <w:p>
      <w:pPr>
        <w:spacing w:line="360" w:lineRule="auto"/>
        <w:ind w:left="1446" w:hanging="1446" w:hangingChars="600"/>
        <w:jc w:val="left"/>
        <w:rPr>
          <w:kern w:val="0"/>
        </w:rPr>
      </w:pPr>
      <w:r>
        <w:rPr>
          <w:rFonts w:hint="eastAsia" w:ascii="Calibri" w:hAnsi="Calibri" w:cs="Calibri"/>
          <w:b/>
          <w:sz w:val="24"/>
          <w:szCs w:val="24"/>
        </w:rPr>
        <w:t>－对保护施救者的忠告：</w:t>
      </w:r>
      <w:r>
        <w:rPr>
          <w:rFonts w:hint="eastAsia"/>
          <w:kern w:val="0"/>
        </w:rPr>
        <w:t>根据需要使用个人防护设备</w:t>
      </w:r>
    </w:p>
    <w:p>
      <w:pPr>
        <w:spacing w:line="360" w:lineRule="auto"/>
        <w:ind w:left="1446" w:hanging="1446" w:hangingChars="600"/>
        <w:jc w:val="left"/>
        <w:rPr>
          <w:kern w:val="0"/>
        </w:rPr>
      </w:pPr>
      <w:r>
        <w:rPr>
          <w:rFonts w:hint="eastAsia" w:ascii="Calibri" w:hAnsi="Calibri" w:cs="Calibri"/>
          <w:b/>
          <w:sz w:val="24"/>
          <w:szCs w:val="24"/>
        </w:rPr>
        <w:t>－对医生的特别提示：</w:t>
      </w:r>
      <w:r>
        <w:rPr>
          <w:rFonts w:hint="eastAsia"/>
          <w:kern w:val="0"/>
        </w:rPr>
        <w:t>对症处理。建议：对于急性接触或短期反复接触强酸：吸入酸雾引起喉头水肿而致气道阻塞。开始采用 100%的氧气治疗。如果喉头过度水肿不宜做气管内插管，则可做环甲软骨切开术。如有循环系统受影响的证据，立即建立静脉通路。由于酸和组织中的蛋白质生成凝块，所以强酸的特点是造成凝固性坏死。食入：食入后 30 分钟内，建议立即饮牛奶或水稀释。不要想去中和酸，因为放热反应可扩大腐蚀伤。小心避免后续的呕吐，因为让食道粘膜再次接触酸是有害的。给成年饮液体仅限 1～2杯。活性炭对于酸造成的损害无效。有的作者推荐食入 1 小时内可用洗胃的办法。皮肤接触：皮肤损伤用大量盐水冲洗。化学烧伤与热伤处理一样，用不粘结的纱布包裹。深Ⅱ度烧伤可使用局部的磺胺嘧啶银。眼接触：眼受伤应提起眼睑以保证结膜穹窿部得到彻底冲洗。冲洗至少持续20-30 分钟。不用中和试剂或其他添加剂，只使用生理盐水。用睫状肌麻痹剂 (短期用 1%cyclopentolate，长期用 5%后马托品)抗生素滴眼。根据伤情，可用血管收缩药或人工泪液。经眼科医生同意方可使用类固醇滴眼剂。</w:t>
      </w:r>
    </w:p>
    <w:p>
      <w:pPr>
        <w:spacing w:line="360" w:lineRule="auto"/>
        <w:ind w:left="1687" w:hanging="1687" w:hangingChars="600"/>
        <w:jc w:val="center"/>
        <w:rPr>
          <w:rFonts w:ascii="Calibri" w:hAnsi="Calibri" w:cs="Calibri"/>
          <w:b/>
          <w:sz w:val="28"/>
          <w:szCs w:val="28"/>
        </w:rPr>
      </w:pPr>
      <w:r>
        <w:rPr>
          <w:rFonts w:hint="eastAsia" w:ascii="Calibri" w:hAnsi="Calibri" w:cs="Calibri"/>
          <w:b/>
          <w:sz w:val="28"/>
          <w:szCs w:val="28"/>
        </w:rPr>
        <w:t>第五部分 消防措施</w:t>
      </w:r>
    </w:p>
    <w:p>
      <w:pPr>
        <w:pStyle w:val="5"/>
        <w:spacing w:before="0" w:beforeAutospacing="0" w:after="0" w:afterAutospacing="0" w:line="360" w:lineRule="auto"/>
        <w:ind w:left="1205" w:hanging="1205" w:hangingChars="500"/>
        <w:rPr>
          <w:sz w:val="21"/>
          <w:szCs w:val="21"/>
        </w:rPr>
      </w:pPr>
      <w:r>
        <w:rPr>
          <w:rFonts w:ascii="Calibri" w:hAnsi="Calibri" w:cs="Calibri" w:eastAsiaTheme="minorEastAsia"/>
          <w:b/>
          <w:kern w:val="2"/>
        </w:rPr>
        <w:t>特别危险性：</w:t>
      </w:r>
      <w:r>
        <w:rPr>
          <w:rFonts w:hint="eastAsia"/>
          <w:sz w:val="21"/>
          <w:szCs w:val="21"/>
        </w:rPr>
        <w:t>易燃，其蒸气与空气可形成爆炸性混合物，遇明火、高热能引起燃烧爆炸。与铬酸、过氧化钠、硝酸或其它氧化剂接触，有爆炸危险。具有腐蚀性。燃烧生产有害的一氧化碳</w:t>
      </w:r>
    </w:p>
    <w:p>
      <w:pPr>
        <w:pStyle w:val="5"/>
        <w:spacing w:before="0" w:beforeAutospacing="0" w:after="0" w:afterAutospacing="0" w:line="360" w:lineRule="auto"/>
        <w:ind w:left="1205" w:hanging="1205" w:hangingChars="500"/>
        <w:rPr>
          <w:sz w:val="21"/>
          <w:szCs w:val="21"/>
        </w:rPr>
      </w:pPr>
      <w:r>
        <w:rPr>
          <w:rFonts w:hint="eastAsia" w:ascii="Calibri" w:hAnsi="Calibri" w:cs="Calibri" w:eastAsiaTheme="minorEastAsia"/>
          <w:b/>
          <w:kern w:val="2"/>
        </w:rPr>
        <w:t>灭火方法和灭火剂</w:t>
      </w:r>
      <w:r>
        <w:rPr>
          <w:rFonts w:ascii="Calibri" w:hAnsi="Calibri" w:cs="Calibri" w:eastAsiaTheme="minorEastAsia"/>
          <w:b/>
          <w:kern w:val="2"/>
        </w:rPr>
        <w:t>：</w:t>
      </w:r>
      <w:r>
        <w:rPr>
          <w:rFonts w:hint="eastAsia"/>
          <w:sz w:val="21"/>
          <w:szCs w:val="21"/>
        </w:rPr>
        <w:t>从上风向进入火场,喷水冷却容器，可能的话将容器从火场移至空旷处。如有液体流淌时，应筑堤拦截漂散流淌的易燃液体或挖沟导流。采用雾状水、抗溶性泡沫、干粉、二氧化碳灭火</w:t>
      </w:r>
    </w:p>
    <w:p>
      <w:pPr>
        <w:pStyle w:val="5"/>
        <w:spacing w:before="0" w:beforeAutospacing="0" w:after="0" w:afterAutospacing="0" w:line="360" w:lineRule="auto"/>
        <w:ind w:left="1205" w:hanging="1205" w:hangingChars="500"/>
        <w:rPr>
          <w:sz w:val="21"/>
          <w:szCs w:val="21"/>
        </w:rPr>
      </w:pPr>
      <w:r>
        <w:rPr>
          <w:rFonts w:hint="eastAsia"/>
          <w:b/>
          <w:kern w:val="2"/>
        </w:rPr>
        <w:t>灭火注意事项及防护措施：</w:t>
      </w:r>
      <w:r>
        <w:rPr>
          <w:rFonts w:hint="eastAsia"/>
          <w:sz w:val="21"/>
          <w:szCs w:val="21"/>
        </w:rPr>
        <w:t>消防人员必须穿全身耐酸碱消防服、佩戴空气呼吸器灭火。尽可能将容器从火场移至空旷处。喷水保持火场容器冷却，直至灭火结束。容器突然发出异常声音或出现异常现象，应立即撤离</w:t>
      </w:r>
    </w:p>
    <w:p>
      <w:pPr>
        <w:pStyle w:val="5"/>
        <w:spacing w:before="0" w:beforeAutospacing="0" w:after="0" w:afterAutospacing="0" w:line="360" w:lineRule="auto"/>
        <w:ind w:left="1405" w:hanging="1405" w:hangingChars="500"/>
        <w:jc w:val="center"/>
        <w:rPr>
          <w:sz w:val="21"/>
          <w:szCs w:val="21"/>
        </w:rPr>
      </w:pPr>
      <w:r>
        <w:rPr>
          <w:rFonts w:hint="eastAsia" w:ascii="Calibri" w:hAnsi="Calibri" w:cs="Calibri" w:eastAsiaTheme="minorEastAsia"/>
          <w:b/>
          <w:kern w:val="2"/>
          <w:sz w:val="28"/>
          <w:szCs w:val="28"/>
        </w:rPr>
        <w:t>第六部分  泄漏应急处置</w:t>
      </w:r>
    </w:p>
    <w:p>
      <w:pPr>
        <w:pStyle w:val="12"/>
        <w:spacing w:before="0" w:beforeLines="0"/>
        <w:ind w:left="1205" w:hanging="1205" w:hangingChars="500"/>
        <w:rPr>
          <w:kern w:val="2"/>
          <w:sz w:val="21"/>
          <w:szCs w:val="21"/>
        </w:rPr>
      </w:pPr>
      <w:r>
        <w:rPr>
          <w:rFonts w:hint="eastAsia"/>
          <w:b/>
          <w:kern w:val="2"/>
          <w:sz w:val="24"/>
          <w:szCs w:val="24"/>
        </w:rPr>
        <w:t>作业人员防护措施、防护装备和应急处置程序：</w:t>
      </w:r>
      <w:r>
        <w:rPr>
          <w:rFonts w:hint="eastAsia"/>
          <w:kern w:val="2"/>
          <w:sz w:val="21"/>
          <w:szCs w:val="21"/>
        </w:rPr>
        <w:t>消除所有点火源。根据液体流动和蒸气扩散的影响区域划定警戒区，无关人员从侧风、上风向撤离至安全区。建议应急处理人员戴正压自给式呼吸器，穿防静电、防腐、防毒服。作业时使用的所有设备应接地。禁止接触或跨越泄漏物。尽可能切断泄漏源</w:t>
      </w:r>
    </w:p>
    <w:p>
      <w:pPr>
        <w:pStyle w:val="12"/>
        <w:spacing w:before="0" w:beforeLines="0"/>
        <w:ind w:left="1205" w:hanging="1205" w:hangingChars="500"/>
        <w:rPr>
          <w:kern w:val="2"/>
          <w:sz w:val="21"/>
          <w:szCs w:val="21"/>
        </w:rPr>
      </w:pPr>
      <w:r>
        <w:rPr>
          <w:rFonts w:hint="eastAsia"/>
          <w:b/>
          <w:kern w:val="2"/>
          <w:sz w:val="24"/>
          <w:szCs w:val="24"/>
        </w:rPr>
        <w:t>环境保护措施：</w:t>
      </w:r>
      <w:r>
        <w:rPr>
          <w:rFonts w:hint="eastAsia"/>
          <w:kern w:val="2"/>
          <w:sz w:val="21"/>
          <w:szCs w:val="21"/>
        </w:rPr>
        <w:t>防止泄漏物进入水体、下水道、地下室或有限空间</w:t>
      </w:r>
    </w:p>
    <w:p>
      <w:pPr>
        <w:pStyle w:val="12"/>
        <w:spacing w:before="0" w:beforeLines="0"/>
        <w:ind w:left="1205" w:hanging="1205" w:hangingChars="500"/>
        <w:rPr>
          <w:kern w:val="2"/>
          <w:sz w:val="21"/>
          <w:szCs w:val="21"/>
        </w:rPr>
      </w:pPr>
      <w:r>
        <w:rPr>
          <w:rFonts w:hint="eastAsia"/>
          <w:b/>
          <w:kern w:val="2"/>
          <w:sz w:val="24"/>
          <w:szCs w:val="24"/>
        </w:rPr>
        <w:t>泄漏化学品的收容、清除方法及所使用的处置材料：</w:t>
      </w:r>
      <w:r>
        <w:rPr>
          <w:rFonts w:hint="eastAsia"/>
          <w:kern w:val="2"/>
          <w:sz w:val="21"/>
          <w:szCs w:val="21"/>
        </w:rPr>
        <w:t>小量泄漏：用砂土或其它不燃材料吸收。使用洁净的无火花工具收集吸收材料。大量泄漏：构筑围堤或挖坑收容。用抗溶性泡沫覆盖，减少蒸发。喷水雾能减少蒸发，但不能降低泄漏物在受限制空间内的易燃性。用砂土、惰性物质或蛭石吸收大量液体。用稀苛性钠(NaOH)或苏打灰(Na</w:t>
      </w:r>
      <w:r>
        <w:rPr>
          <w:rFonts w:hint="eastAsia"/>
          <w:kern w:val="2"/>
          <w:sz w:val="21"/>
          <w:szCs w:val="21"/>
          <w:vertAlign w:val="subscript"/>
        </w:rPr>
        <w:t>2</w:t>
      </w:r>
      <w:r>
        <w:rPr>
          <w:rFonts w:hint="eastAsia"/>
          <w:kern w:val="2"/>
          <w:sz w:val="21"/>
          <w:szCs w:val="21"/>
        </w:rPr>
        <w:t>CO</w:t>
      </w:r>
      <w:r>
        <w:rPr>
          <w:rFonts w:hint="eastAsia"/>
          <w:kern w:val="2"/>
          <w:sz w:val="21"/>
          <w:szCs w:val="21"/>
          <w:vertAlign w:val="subscript"/>
        </w:rPr>
        <w:t>3</w:t>
      </w:r>
      <w:r>
        <w:rPr>
          <w:rFonts w:hint="eastAsia"/>
          <w:kern w:val="2"/>
          <w:sz w:val="21"/>
          <w:szCs w:val="21"/>
        </w:rPr>
        <w:t>)中和。用防爆、耐腐蚀泵转移至槽车或专用收集器内</w:t>
      </w:r>
    </w:p>
    <w:p>
      <w:pPr>
        <w:pStyle w:val="12"/>
        <w:spacing w:before="0" w:beforeLines="0"/>
        <w:ind w:left="1205" w:hanging="1205" w:hangingChars="500"/>
        <w:rPr>
          <w:spacing w:val="20"/>
          <w:kern w:val="2"/>
          <w:sz w:val="21"/>
          <w:szCs w:val="21"/>
        </w:rPr>
      </w:pPr>
      <w:r>
        <w:rPr>
          <w:rFonts w:hint="eastAsia"/>
          <w:b/>
          <w:kern w:val="2"/>
          <w:sz w:val="24"/>
          <w:szCs w:val="24"/>
        </w:rPr>
        <w:t>防止次生危害的防范措施：</w:t>
      </w:r>
      <w:r>
        <w:rPr>
          <w:rFonts w:hint="eastAsia"/>
          <w:spacing w:val="20"/>
          <w:kern w:val="2"/>
          <w:sz w:val="21"/>
          <w:szCs w:val="21"/>
        </w:rPr>
        <w:t>妥善处理收集的泄漏物和容器，并按照第十三部分方法处置</w:t>
      </w:r>
    </w:p>
    <w:p>
      <w:pPr>
        <w:pStyle w:val="12"/>
        <w:spacing w:before="0" w:beforeLines="0"/>
        <w:ind w:left="1405" w:hanging="1405" w:hangingChars="500"/>
        <w:jc w:val="center"/>
        <w:rPr>
          <w:rFonts w:ascii="Calibri" w:hAnsi="Calibri" w:cs="Calibri" w:eastAsiaTheme="minorEastAsia"/>
          <w:b/>
          <w:snapToGrid/>
          <w:color w:val="auto"/>
          <w:kern w:val="2"/>
          <w:sz w:val="28"/>
          <w:szCs w:val="28"/>
        </w:rPr>
      </w:pPr>
      <w:r>
        <w:rPr>
          <w:rFonts w:hint="eastAsia" w:ascii="Calibri" w:hAnsi="Calibri" w:cs="Calibri" w:eastAsiaTheme="minorEastAsia"/>
          <w:b/>
          <w:snapToGrid/>
          <w:color w:val="auto"/>
          <w:kern w:val="2"/>
          <w:sz w:val="28"/>
          <w:szCs w:val="28"/>
        </w:rPr>
        <w:t>第七部分  操作处置与储存</w:t>
      </w:r>
    </w:p>
    <w:p>
      <w:pPr>
        <w:pStyle w:val="12"/>
        <w:spacing w:before="0" w:beforeLines="0"/>
        <w:ind w:left="1205" w:hanging="1205" w:hangingChars="500"/>
        <w:rPr>
          <w:kern w:val="2"/>
          <w:sz w:val="21"/>
          <w:szCs w:val="21"/>
        </w:rPr>
      </w:pPr>
      <w:r>
        <w:rPr>
          <w:rFonts w:hint="eastAsia"/>
          <w:b/>
          <w:kern w:val="2"/>
          <w:sz w:val="24"/>
          <w:szCs w:val="24"/>
        </w:rPr>
        <w:t>操作处置：</w:t>
      </w:r>
      <w:r>
        <w:rPr>
          <w:rFonts w:hint="eastAsia"/>
          <w:kern w:val="2"/>
          <w:sz w:val="21"/>
          <w:szCs w:val="21"/>
        </w:rPr>
        <w:t>密闭操作，加强通风。操作人员必须经过专门培训，严格遵守操作规程。建议操作人员佩戴自吸过滤式防毒面具　（半面罩），戴化学安全防护眼镜，穿防酸碱塑料工作服，戴橡胶耐酸碱手套。远离火种、热源。工作场所严禁吸烟。使用防爆型的通风系统和设备。防止蒸气泄漏到工作场所空气中。避免与氧化剂、碱类接触。搬运时要轻装轻卸，防止包装及容器损坏。配备相应品种和数量的消防器材及泄漏应急处理设备。倒空的容器可能残留有害物</w:t>
      </w:r>
    </w:p>
    <w:p>
      <w:pPr>
        <w:pStyle w:val="12"/>
        <w:spacing w:before="0" w:beforeLines="0"/>
        <w:ind w:left="1205" w:hanging="1205" w:hangingChars="500"/>
        <w:rPr>
          <w:kern w:val="2"/>
          <w:sz w:val="21"/>
          <w:szCs w:val="21"/>
        </w:rPr>
      </w:pPr>
      <w:r>
        <w:rPr>
          <w:rFonts w:hint="eastAsia"/>
          <w:b/>
          <w:kern w:val="2"/>
          <w:sz w:val="24"/>
          <w:szCs w:val="24"/>
        </w:rPr>
        <w:t>储    存：</w:t>
      </w:r>
      <w:r>
        <w:rPr>
          <w:rFonts w:hint="eastAsia"/>
          <w:kern w:val="2"/>
          <w:sz w:val="21"/>
          <w:szCs w:val="21"/>
        </w:rPr>
        <w:t>储存于阴凉、通风的库房。远离火种、热源。冻季应保持库温高于１６℃，以防凝固。保持容器密封。应与氧化剂、碱类分开存放，切忌混储。采用防爆型照明、通风设施。禁止使用易产生火花的机械设备和工具。储区应备有泄漏应急处理设备和合适的收容材料</w:t>
      </w:r>
    </w:p>
    <w:p>
      <w:pPr>
        <w:pStyle w:val="12"/>
        <w:spacing w:before="156"/>
        <w:ind w:left="1405" w:hanging="1405" w:hangingChars="500"/>
        <w:jc w:val="center"/>
        <w:rPr>
          <w:kern w:val="2"/>
          <w:sz w:val="21"/>
          <w:szCs w:val="21"/>
        </w:rPr>
      </w:pPr>
      <w:r>
        <w:rPr>
          <w:rFonts w:hint="eastAsia" w:ascii="Calibri" w:hAnsi="Calibri" w:cs="Calibri" w:eastAsiaTheme="minorEastAsia"/>
          <w:b/>
          <w:snapToGrid/>
          <w:color w:val="auto"/>
          <w:kern w:val="2"/>
          <w:sz w:val="28"/>
          <w:szCs w:val="28"/>
        </w:rPr>
        <w:t>第八部分  接触控制/个体防护</w:t>
      </w:r>
    </w:p>
    <w:p>
      <w:pPr>
        <w:pStyle w:val="12"/>
        <w:spacing w:beforeLines="0"/>
        <w:ind w:left="1205" w:hanging="1205" w:hangingChars="500"/>
        <w:rPr>
          <w:b/>
          <w:kern w:val="2"/>
          <w:sz w:val="24"/>
          <w:szCs w:val="24"/>
        </w:rPr>
      </w:pPr>
      <w:r>
        <w:rPr>
          <w:rFonts w:hint="eastAsia"/>
          <w:b/>
          <w:kern w:val="2"/>
          <w:sz w:val="24"/>
          <w:szCs w:val="24"/>
        </w:rPr>
        <w:t>接触限值：</w:t>
      </w:r>
    </w:p>
    <w:tbl>
      <w:tblPr>
        <w:tblStyle w:val="6"/>
        <w:tblW w:w="5000" w:type="pct"/>
        <w:tblCellSpacing w:w="0" w:type="dxa"/>
        <w:tblInd w:w="0" w:type="dxa"/>
        <w:tblLayout w:type="autofit"/>
        <w:tblCellMar>
          <w:top w:w="0" w:type="dxa"/>
          <w:left w:w="0" w:type="dxa"/>
          <w:bottom w:w="0" w:type="dxa"/>
          <w:right w:w="0" w:type="dxa"/>
        </w:tblCellMar>
      </w:tblPr>
      <w:tblGrid>
        <w:gridCol w:w="4059"/>
        <w:gridCol w:w="4247"/>
      </w:tblGrid>
      <w:tr>
        <w:tblPrEx>
          <w:tblCellMar>
            <w:top w:w="0" w:type="dxa"/>
            <w:left w:w="0" w:type="dxa"/>
            <w:bottom w:w="0" w:type="dxa"/>
            <w:right w:w="0" w:type="dxa"/>
          </w:tblCellMar>
        </w:tblPrEx>
        <w:trPr>
          <w:tblCellSpacing w:w="0" w:type="dxa"/>
        </w:trPr>
        <w:tc>
          <w:tcPr>
            <w:tcW w:w="0" w:type="auto"/>
            <w:vAlign w:val="center"/>
          </w:tcPr>
          <w:p>
            <w:pPr>
              <w:pStyle w:val="5"/>
              <w:spacing w:line="360" w:lineRule="auto"/>
              <w:ind w:left="105"/>
              <w:rPr>
                <w:color w:val="000000"/>
              </w:rPr>
            </w:pPr>
            <w:r>
              <w:rPr>
                <w:rStyle w:val="15"/>
                <w:rFonts w:hint="default"/>
                <w:color w:val="000000"/>
              </w:rPr>
              <w:t>MAC(mg/m</w:t>
            </w:r>
            <w:r>
              <w:rPr>
                <w:rStyle w:val="15"/>
                <w:rFonts w:hint="default"/>
                <w:color w:val="000000"/>
                <w:vertAlign w:val="superscript"/>
              </w:rPr>
              <w:t>3</w:t>
            </w:r>
            <w:r>
              <w:rPr>
                <w:rStyle w:val="15"/>
                <w:rFonts w:hint="default"/>
                <w:color w:val="000000"/>
              </w:rPr>
              <w:t>)</w:t>
            </w:r>
            <w:r>
              <w:rPr>
                <w:rStyle w:val="17"/>
                <w:rFonts w:hint="default"/>
                <w:color w:val="000000"/>
              </w:rPr>
              <w:t>: </w:t>
            </w:r>
            <w:r>
              <w:rPr>
                <w:rFonts w:hint="eastAsia" w:ascii="Times New Roman" w:hAnsi="Times New Roman" w:cs="Times New Roman"/>
                <w:color w:val="000000"/>
                <w:kern w:val="2"/>
                <w:sz w:val="21"/>
              </w:rPr>
              <w:t>-</w:t>
            </w:r>
          </w:p>
        </w:tc>
        <w:tc>
          <w:tcPr>
            <w:tcW w:w="0" w:type="auto"/>
            <w:vAlign w:val="center"/>
          </w:tcPr>
          <w:p>
            <w:pPr>
              <w:pStyle w:val="5"/>
              <w:spacing w:line="360" w:lineRule="auto"/>
              <w:ind w:left="105"/>
              <w:rPr>
                <w:color w:val="000000"/>
              </w:rPr>
            </w:pPr>
            <w:r>
              <w:rPr>
                <w:rStyle w:val="15"/>
                <w:rFonts w:hint="default"/>
                <w:color w:val="000000"/>
              </w:rPr>
              <w:t>PC-TWA（mg/m</w:t>
            </w:r>
            <w:r>
              <w:rPr>
                <w:rStyle w:val="15"/>
                <w:rFonts w:hint="default"/>
                <w:color w:val="000000"/>
                <w:vertAlign w:val="superscript"/>
              </w:rPr>
              <w:t>3</w:t>
            </w:r>
            <w:r>
              <w:rPr>
                <w:rStyle w:val="15"/>
                <w:rFonts w:hint="default"/>
                <w:color w:val="000000"/>
              </w:rPr>
              <w:t>）</w:t>
            </w:r>
            <w:r>
              <w:rPr>
                <w:rStyle w:val="17"/>
                <w:rFonts w:hint="default"/>
                <w:color w:val="000000"/>
              </w:rPr>
              <w:t>:</w:t>
            </w:r>
            <w:r>
              <w:rPr>
                <w:rFonts w:hint="eastAsia" w:ascii="Times New Roman" w:hAnsi="Times New Roman" w:cs="Times New Roman"/>
                <w:color w:val="000000"/>
                <w:kern w:val="2"/>
                <w:sz w:val="21"/>
              </w:rPr>
              <w:t xml:space="preserve"> 10</w:t>
            </w:r>
          </w:p>
        </w:tc>
      </w:tr>
      <w:tr>
        <w:tblPrEx>
          <w:tblCellMar>
            <w:top w:w="0" w:type="dxa"/>
            <w:left w:w="0" w:type="dxa"/>
            <w:bottom w:w="0" w:type="dxa"/>
            <w:right w:w="0" w:type="dxa"/>
          </w:tblCellMar>
        </w:tblPrEx>
        <w:trPr>
          <w:tblCellSpacing w:w="0" w:type="dxa"/>
        </w:trPr>
        <w:tc>
          <w:tcPr>
            <w:tcW w:w="0" w:type="auto"/>
            <w:vAlign w:val="center"/>
          </w:tcPr>
          <w:p>
            <w:pPr>
              <w:pStyle w:val="5"/>
              <w:spacing w:line="360" w:lineRule="auto"/>
              <w:ind w:left="105"/>
              <w:rPr>
                <w:color w:val="000000"/>
              </w:rPr>
            </w:pPr>
            <w:r>
              <w:rPr>
                <w:rStyle w:val="15"/>
                <w:rFonts w:hint="default"/>
                <w:color w:val="000000"/>
              </w:rPr>
              <w:t>PC-STEL（mg/m</w:t>
            </w:r>
            <w:r>
              <w:rPr>
                <w:rStyle w:val="15"/>
                <w:rFonts w:hint="default"/>
                <w:color w:val="000000"/>
                <w:vertAlign w:val="superscript"/>
              </w:rPr>
              <w:t>3</w:t>
            </w:r>
            <w:r>
              <w:rPr>
                <w:rStyle w:val="15"/>
                <w:rFonts w:hint="default"/>
                <w:color w:val="000000"/>
              </w:rPr>
              <w:t>）</w:t>
            </w:r>
            <w:r>
              <w:rPr>
                <w:rStyle w:val="17"/>
                <w:rFonts w:hint="default"/>
                <w:color w:val="000000"/>
              </w:rPr>
              <w:t>:</w:t>
            </w:r>
            <w:r>
              <w:rPr>
                <w:color w:val="000000"/>
              </w:rPr>
              <w:t xml:space="preserve"> </w:t>
            </w:r>
            <w:r>
              <w:rPr>
                <w:rFonts w:hint="eastAsia" w:ascii="Times New Roman" w:hAnsi="Times New Roman" w:cs="Times New Roman"/>
                <w:color w:val="000000"/>
                <w:kern w:val="2"/>
                <w:sz w:val="21"/>
              </w:rPr>
              <w:t>20</w:t>
            </w:r>
          </w:p>
        </w:tc>
        <w:tc>
          <w:tcPr>
            <w:tcW w:w="0" w:type="auto"/>
            <w:vAlign w:val="center"/>
          </w:tcPr>
          <w:p>
            <w:pPr>
              <w:pStyle w:val="5"/>
              <w:spacing w:line="360" w:lineRule="auto"/>
              <w:ind w:left="105"/>
              <w:rPr>
                <w:color w:val="000000"/>
              </w:rPr>
            </w:pPr>
            <w:r>
              <w:rPr>
                <w:rStyle w:val="15"/>
                <w:rFonts w:hint="default"/>
                <w:color w:val="000000"/>
              </w:rPr>
              <w:t>TLV-C(mg/m</w:t>
            </w:r>
            <w:r>
              <w:rPr>
                <w:rStyle w:val="15"/>
                <w:rFonts w:hint="default"/>
                <w:color w:val="000000"/>
                <w:vertAlign w:val="superscript"/>
              </w:rPr>
              <w:t>3</w:t>
            </w:r>
            <w:r>
              <w:rPr>
                <w:rStyle w:val="15"/>
                <w:rFonts w:hint="default"/>
                <w:color w:val="000000"/>
              </w:rPr>
              <w:t>)</w:t>
            </w:r>
            <w:r>
              <w:rPr>
                <w:rStyle w:val="17"/>
                <w:rFonts w:hint="default"/>
                <w:color w:val="000000"/>
              </w:rPr>
              <w:t>: </w:t>
            </w:r>
            <w:r>
              <w:rPr>
                <w:rFonts w:hint="eastAsia" w:ascii="Times New Roman" w:hAnsi="Times New Roman" w:cs="Times New Roman"/>
                <w:color w:val="000000"/>
                <w:kern w:val="2"/>
                <w:sz w:val="21"/>
              </w:rPr>
              <w:t>-</w:t>
            </w:r>
          </w:p>
        </w:tc>
      </w:tr>
      <w:tr>
        <w:tblPrEx>
          <w:tblCellMar>
            <w:top w:w="0" w:type="dxa"/>
            <w:left w:w="0" w:type="dxa"/>
            <w:bottom w:w="0" w:type="dxa"/>
            <w:right w:w="0" w:type="dxa"/>
          </w:tblCellMar>
        </w:tblPrEx>
        <w:trPr>
          <w:tblCellSpacing w:w="0" w:type="dxa"/>
        </w:trPr>
        <w:tc>
          <w:tcPr>
            <w:tcW w:w="0" w:type="auto"/>
            <w:vAlign w:val="center"/>
          </w:tcPr>
          <w:p>
            <w:pPr>
              <w:pStyle w:val="5"/>
              <w:spacing w:line="360" w:lineRule="auto"/>
              <w:ind w:left="105"/>
              <w:rPr>
                <w:color w:val="000000"/>
              </w:rPr>
            </w:pPr>
            <w:r>
              <w:rPr>
                <w:rStyle w:val="15"/>
                <w:rFonts w:hint="default"/>
                <w:color w:val="000000"/>
              </w:rPr>
              <w:t>TLV-TWA(mg/m</w:t>
            </w:r>
            <w:r>
              <w:rPr>
                <w:rStyle w:val="15"/>
                <w:rFonts w:hint="default"/>
                <w:color w:val="000000"/>
                <w:vertAlign w:val="superscript"/>
              </w:rPr>
              <w:t>3</w:t>
            </w:r>
            <w:r>
              <w:rPr>
                <w:rStyle w:val="15"/>
                <w:rFonts w:hint="default"/>
                <w:color w:val="000000"/>
              </w:rPr>
              <w:t>)</w:t>
            </w:r>
            <w:r>
              <w:rPr>
                <w:rStyle w:val="17"/>
                <w:rFonts w:hint="default"/>
                <w:color w:val="000000"/>
              </w:rPr>
              <w:t>: 10ppm</w:t>
            </w:r>
          </w:p>
        </w:tc>
        <w:tc>
          <w:tcPr>
            <w:tcW w:w="0" w:type="auto"/>
            <w:vAlign w:val="center"/>
          </w:tcPr>
          <w:p>
            <w:pPr>
              <w:pStyle w:val="5"/>
              <w:spacing w:line="360" w:lineRule="auto"/>
              <w:ind w:left="105"/>
              <w:rPr>
                <w:color w:val="000000"/>
              </w:rPr>
            </w:pPr>
            <w:r>
              <w:rPr>
                <w:rStyle w:val="15"/>
                <w:rFonts w:hint="default"/>
                <w:color w:val="000000"/>
              </w:rPr>
              <w:t>TLV-STEL(mg/m</w:t>
            </w:r>
            <w:r>
              <w:rPr>
                <w:rStyle w:val="15"/>
                <w:rFonts w:hint="default"/>
                <w:color w:val="000000"/>
                <w:vertAlign w:val="superscript"/>
              </w:rPr>
              <w:t>3</w:t>
            </w:r>
            <w:r>
              <w:rPr>
                <w:rStyle w:val="15"/>
                <w:rFonts w:hint="default"/>
                <w:color w:val="000000"/>
              </w:rPr>
              <w:t>)</w:t>
            </w:r>
            <w:r>
              <w:rPr>
                <w:rStyle w:val="17"/>
                <w:rFonts w:hint="default"/>
                <w:color w:val="000000"/>
              </w:rPr>
              <w:t>: 15ppm</w:t>
            </w:r>
          </w:p>
        </w:tc>
      </w:tr>
    </w:tbl>
    <w:p>
      <w:pPr>
        <w:pStyle w:val="5"/>
        <w:spacing w:before="0" w:beforeAutospacing="0" w:after="0" w:afterAutospacing="0" w:line="360" w:lineRule="auto"/>
        <w:ind w:left="1205" w:hanging="1205" w:hangingChars="500"/>
        <w:rPr>
          <w:rStyle w:val="15"/>
          <w:rFonts w:hint="default"/>
        </w:rPr>
      </w:pPr>
      <w:r>
        <w:rPr>
          <w:b/>
          <w:snapToGrid w:val="0"/>
          <w:color w:val="000000"/>
          <w:kern w:val="2"/>
        </w:rPr>
        <w:t>生物限值：</w:t>
      </w:r>
      <w:r>
        <w:rPr>
          <w:rFonts w:hint="eastAsia" w:ascii="Times New Roman" w:hAnsi="Times New Roman" w:cs="Times New Roman"/>
          <w:kern w:val="2"/>
          <w:sz w:val="21"/>
        </w:rPr>
        <w:t>未制定标准</w:t>
      </w:r>
    </w:p>
    <w:p>
      <w:pPr>
        <w:pStyle w:val="5"/>
        <w:spacing w:before="0" w:beforeAutospacing="0" w:after="0" w:afterAutospacing="0" w:line="360" w:lineRule="auto"/>
        <w:ind w:left="1205" w:hanging="1205" w:hangingChars="500"/>
        <w:rPr>
          <w:szCs w:val="21"/>
        </w:rPr>
      </w:pPr>
      <w:r>
        <w:rPr>
          <w:b/>
          <w:snapToGrid w:val="0"/>
          <w:color w:val="000000"/>
          <w:kern w:val="2"/>
        </w:rPr>
        <w:t>监测方法：</w:t>
      </w:r>
      <w:r>
        <w:rPr>
          <w:rFonts w:hint="eastAsia" w:ascii="Times New Roman" w:hAnsi="Times New Roman" w:cs="Times New Roman"/>
          <w:kern w:val="2"/>
          <w:sz w:val="21"/>
        </w:rPr>
        <w:t>空气中有毒物质测定方法：溶剂解吸-气相色谱法</w:t>
      </w:r>
    </w:p>
    <w:p>
      <w:pPr>
        <w:pStyle w:val="5"/>
        <w:spacing w:before="0" w:beforeAutospacing="0" w:after="0" w:afterAutospacing="0" w:line="360" w:lineRule="auto"/>
        <w:ind w:left="1205" w:hanging="1205" w:hangingChars="500"/>
        <w:rPr>
          <w:rFonts w:ascii="Times New Roman" w:hAnsi="Times New Roman" w:cs="Times New Roman"/>
          <w:kern w:val="2"/>
          <w:sz w:val="21"/>
        </w:rPr>
      </w:pPr>
      <w:r>
        <w:rPr>
          <w:b/>
          <w:snapToGrid w:val="0"/>
          <w:color w:val="000000"/>
          <w:kern w:val="2"/>
        </w:rPr>
        <w:t>工程控制：</w:t>
      </w:r>
      <w:r>
        <w:rPr>
          <w:rFonts w:hint="eastAsia" w:ascii="Times New Roman" w:hAnsi="Times New Roman" w:cs="Times New Roman"/>
          <w:kern w:val="2"/>
          <w:sz w:val="21"/>
        </w:rPr>
        <w:t>生产过程密闭，加强通风。提供安全淋浴和洗眼设备</w:t>
      </w:r>
    </w:p>
    <w:p>
      <w:pPr>
        <w:pStyle w:val="5"/>
        <w:spacing w:before="0" w:beforeAutospacing="0" w:after="0" w:afterAutospacing="0" w:line="360" w:lineRule="auto"/>
        <w:ind w:left="1205" w:hanging="1205" w:hangingChars="500"/>
        <w:rPr>
          <w:rFonts w:ascii="Times New Roman" w:hAnsi="Times New Roman" w:cs="Times New Roman"/>
          <w:kern w:val="2"/>
          <w:sz w:val="21"/>
        </w:rPr>
      </w:pPr>
      <w:r>
        <w:rPr>
          <w:b/>
          <w:snapToGrid w:val="0"/>
          <w:color w:val="000000"/>
        </w:rPr>
        <w:t>呼吸系统防护：</w:t>
      </w:r>
      <w:r>
        <w:rPr>
          <w:rFonts w:hint="eastAsia" w:ascii="Times New Roman" w:hAnsi="Times New Roman" w:cs="Times New Roman"/>
          <w:kern w:val="2"/>
          <w:sz w:val="21"/>
        </w:rPr>
        <w:t>空气中浓度超标时，应该佩戴过滤式防毒面具(半面罩)。紧急事态抢救或撤离时，佩戴空气呼吸器</w:t>
      </w:r>
    </w:p>
    <w:p>
      <w:pPr>
        <w:pStyle w:val="5"/>
        <w:spacing w:before="0" w:beforeAutospacing="0" w:after="0" w:afterAutospacing="0" w:line="360" w:lineRule="auto"/>
        <w:ind w:left="1205" w:hanging="1205" w:hangingChars="500"/>
        <w:rPr>
          <w:rFonts w:ascii="Times New Roman" w:hAnsi="Times New Roman" w:cs="Times New Roman"/>
        </w:rPr>
      </w:pPr>
      <w:r>
        <w:rPr>
          <w:b/>
          <w:snapToGrid w:val="0"/>
          <w:color w:val="000000"/>
        </w:rPr>
        <w:t>眼睛防护：</w:t>
      </w:r>
      <w:r>
        <w:rPr>
          <w:rFonts w:hint="eastAsia" w:ascii="Times New Roman" w:hAnsi="Times New Roman" w:cs="Times New Roman"/>
          <w:kern w:val="2"/>
          <w:sz w:val="21"/>
        </w:rPr>
        <w:t>戴化学安全防护眼镜</w:t>
      </w:r>
    </w:p>
    <w:p>
      <w:pPr>
        <w:pStyle w:val="5"/>
        <w:spacing w:before="0" w:beforeAutospacing="0" w:after="0" w:afterAutospacing="0" w:line="360" w:lineRule="auto"/>
        <w:ind w:left="1205" w:hanging="1205" w:hangingChars="500"/>
        <w:rPr>
          <w:rFonts w:ascii="Times New Roman" w:hAnsi="Times New Roman" w:cs="Times New Roman"/>
          <w:kern w:val="2"/>
          <w:sz w:val="21"/>
        </w:rPr>
      </w:pPr>
      <w:r>
        <w:rPr>
          <w:b/>
          <w:snapToGrid w:val="0"/>
          <w:color w:val="000000"/>
        </w:rPr>
        <w:t>皮肤和身体防护：</w:t>
      </w:r>
      <w:r>
        <w:rPr>
          <w:rFonts w:hint="eastAsia" w:ascii="Times New Roman" w:hAnsi="Times New Roman" w:cs="Times New Roman"/>
          <w:kern w:val="2"/>
          <w:sz w:val="21"/>
        </w:rPr>
        <w:t>穿橡胶耐酸碱服</w:t>
      </w:r>
    </w:p>
    <w:p>
      <w:pPr>
        <w:pStyle w:val="5"/>
        <w:spacing w:before="0" w:beforeAutospacing="0" w:after="0" w:afterAutospacing="0" w:line="360" w:lineRule="auto"/>
        <w:ind w:left="1205" w:hanging="1205" w:hangingChars="500"/>
        <w:rPr>
          <w:rFonts w:ascii="Times New Roman" w:hAnsi="Times New Roman" w:cs="Times New Roman"/>
          <w:kern w:val="2"/>
          <w:sz w:val="21"/>
        </w:rPr>
      </w:pPr>
      <w:r>
        <w:rPr>
          <w:b/>
          <w:snapToGrid w:val="0"/>
          <w:color w:val="000000"/>
        </w:rPr>
        <w:t>手 防 护：</w:t>
      </w:r>
      <w:r>
        <w:rPr>
          <w:rFonts w:hint="eastAsia" w:ascii="Times New Roman" w:hAnsi="Times New Roman" w:cs="Times New Roman"/>
          <w:kern w:val="2"/>
          <w:sz w:val="21"/>
        </w:rPr>
        <w:t>戴橡胶耐酸碱手套</w:t>
      </w:r>
    </w:p>
    <w:p>
      <w:pPr>
        <w:pStyle w:val="5"/>
        <w:spacing w:before="0" w:beforeAutospacing="0" w:after="0" w:afterAutospacing="0" w:line="360" w:lineRule="auto"/>
        <w:ind w:left="1205" w:hanging="1205" w:hangingChars="500"/>
        <w:rPr>
          <w:rFonts w:ascii="Times New Roman" w:hAnsi="Times New Roman" w:cs="Times New Roman"/>
          <w:kern w:val="2"/>
          <w:sz w:val="21"/>
        </w:rPr>
      </w:pPr>
      <w:r>
        <w:rPr>
          <w:rFonts w:hint="eastAsia"/>
          <w:b/>
          <w:kern w:val="2"/>
        </w:rPr>
        <w:t>其他防护：</w:t>
      </w:r>
      <w:r>
        <w:rPr>
          <w:rFonts w:hint="eastAsia" w:ascii="Times New Roman" w:hAnsi="Times New Roman" w:cs="Times New Roman"/>
          <w:kern w:val="2"/>
          <w:sz w:val="21"/>
        </w:rPr>
        <w:t>工作现场严禁吸烟。工作完毕，淋浴更衣。注意个人清洁卫生</w:t>
      </w:r>
    </w:p>
    <w:p>
      <w:pPr>
        <w:pStyle w:val="5"/>
        <w:spacing w:before="0" w:beforeAutospacing="0" w:after="0" w:afterAutospacing="0" w:line="360" w:lineRule="auto"/>
        <w:ind w:left="1405" w:hanging="1405" w:hangingChars="500"/>
        <w:jc w:val="center"/>
        <w:rPr>
          <w:rFonts w:ascii="Times New Roman" w:hAnsi="Times New Roman" w:cs="Times New Roman"/>
          <w:kern w:val="2"/>
          <w:sz w:val="21"/>
        </w:rPr>
      </w:pPr>
      <w:r>
        <w:rPr>
          <w:rFonts w:hint="eastAsia" w:ascii="Calibri" w:hAnsi="Calibri" w:cs="Calibri" w:eastAsiaTheme="minorEastAsia"/>
          <w:b/>
          <w:kern w:val="2"/>
          <w:sz w:val="28"/>
          <w:szCs w:val="28"/>
        </w:rPr>
        <w:t>第九部分  理化性质</w:t>
      </w:r>
    </w:p>
    <w:p>
      <w:pPr>
        <w:spacing w:line="460" w:lineRule="atLeast"/>
        <w:jc w:val="left"/>
        <w:rPr>
          <w:rFonts w:ascii="宋体" w:hAnsi="宋体"/>
          <w:szCs w:val="21"/>
        </w:rPr>
      </w:pPr>
      <w:r>
        <w:rPr>
          <w:rFonts w:hint="eastAsia" w:ascii="宋体" w:hAnsi="宋体" w:eastAsia="宋体" w:cs="宋体"/>
          <w:b/>
          <w:snapToGrid w:val="0"/>
          <w:color w:val="000000"/>
        </w:rPr>
        <w:t xml:space="preserve"> </w:t>
      </w:r>
      <w:r>
        <w:rPr>
          <w:rFonts w:ascii="宋体" w:hAnsi="宋体" w:eastAsia="宋体" w:cs="宋体"/>
          <w:b/>
          <w:snapToGrid w:val="0"/>
          <w:color w:val="000000"/>
        </w:rPr>
        <w:t>外观与性状</w:t>
      </w:r>
      <w:r>
        <w:rPr>
          <w:rFonts w:ascii="宋体" w:hAnsi="宋体" w:eastAsia="宋体" w:cs="宋体"/>
          <w:snapToGrid w:val="0"/>
          <w:color w:val="000000"/>
        </w:rPr>
        <w:t>：</w:t>
      </w:r>
      <w:r>
        <w:rPr>
          <w:rFonts w:hint="eastAsia" w:ascii="Times New Roman" w:hAnsi="Times New Roman" w:eastAsia="宋体" w:cs="Times New Roman"/>
          <w:szCs w:val="24"/>
        </w:rPr>
        <w:t>无色透明液体，有刺激性酸臭</w:t>
      </w:r>
    </w:p>
    <w:tbl>
      <w:tblPr>
        <w:tblStyle w:val="6"/>
        <w:tblW w:w="5000" w:type="pct"/>
        <w:tblCellSpacing w:w="0" w:type="dxa"/>
        <w:tblInd w:w="0" w:type="dxa"/>
        <w:tblLayout w:type="autofit"/>
        <w:tblCellMar>
          <w:top w:w="0" w:type="dxa"/>
          <w:left w:w="0" w:type="dxa"/>
          <w:bottom w:w="0" w:type="dxa"/>
          <w:right w:w="0" w:type="dxa"/>
        </w:tblCellMar>
      </w:tblPr>
      <w:tblGrid>
        <w:gridCol w:w="4731"/>
        <w:gridCol w:w="3575"/>
      </w:tblGrid>
      <w:tr>
        <w:tblPrEx>
          <w:tblCellMar>
            <w:top w:w="0" w:type="dxa"/>
            <w:left w:w="0" w:type="dxa"/>
            <w:bottom w:w="0" w:type="dxa"/>
            <w:right w:w="0" w:type="dxa"/>
          </w:tblCellMar>
        </w:tblPrEx>
        <w:trPr>
          <w:tblCellSpacing w:w="0" w:type="dxa"/>
        </w:trPr>
        <w:tc>
          <w:tcPr>
            <w:tcW w:w="0" w:type="auto"/>
            <w:vAlign w:val="center"/>
          </w:tcPr>
          <w:p>
            <w:pPr>
              <w:pStyle w:val="5"/>
              <w:spacing w:line="400" w:lineRule="atLeast"/>
              <w:ind w:left="105"/>
            </w:pPr>
            <w:r>
              <w:rPr>
                <w:b/>
                <w:snapToGrid w:val="0"/>
                <w:color w:val="000000"/>
                <w:kern w:val="2"/>
              </w:rPr>
              <w:t>pH值（指明浓度）:</w:t>
            </w:r>
            <w:r>
              <w:rPr>
                <w:rFonts w:hint="eastAsia" w:ascii="Times New Roman" w:hAnsi="Times New Roman" w:cs="Times New Roman"/>
                <w:kern w:val="2"/>
                <w:sz w:val="21"/>
              </w:rPr>
              <w:t>2.4（1mol/L水溶液）</w:t>
            </w:r>
          </w:p>
        </w:tc>
        <w:tc>
          <w:tcPr>
            <w:tcW w:w="2152" w:type="pct"/>
            <w:vAlign w:val="center"/>
          </w:tcPr>
          <w:p>
            <w:pPr>
              <w:pStyle w:val="5"/>
              <w:spacing w:line="400" w:lineRule="atLeast"/>
            </w:pPr>
            <w:r>
              <w:rPr>
                <w:b/>
                <w:snapToGrid w:val="0"/>
                <w:color w:val="000000"/>
                <w:kern w:val="2"/>
              </w:rPr>
              <w:t>熔点/凝固点(℃):</w:t>
            </w:r>
            <w:r>
              <w:rPr>
                <w:rFonts w:hint="eastAsia" w:ascii="Times New Roman" w:hAnsi="Times New Roman" w:cs="Times New Roman"/>
                <w:kern w:val="2"/>
                <w:sz w:val="21"/>
              </w:rPr>
              <w:t xml:space="preserve"> 16.6</w:t>
            </w:r>
          </w:p>
        </w:tc>
      </w:tr>
      <w:tr>
        <w:tblPrEx>
          <w:tblCellMar>
            <w:top w:w="0" w:type="dxa"/>
            <w:left w:w="0" w:type="dxa"/>
            <w:bottom w:w="0" w:type="dxa"/>
            <w:right w:w="0" w:type="dxa"/>
          </w:tblCellMar>
        </w:tblPrEx>
        <w:trPr>
          <w:tblCellSpacing w:w="0" w:type="dxa"/>
        </w:trPr>
        <w:tc>
          <w:tcPr>
            <w:tcW w:w="0" w:type="auto"/>
            <w:vAlign w:val="center"/>
          </w:tcPr>
          <w:p>
            <w:pPr>
              <w:pStyle w:val="5"/>
              <w:spacing w:line="400" w:lineRule="atLeast"/>
              <w:ind w:left="105"/>
              <w:rPr>
                <w:rFonts w:ascii="Times New Roman" w:hAnsi="Times New Roman" w:cs="Times New Roman"/>
                <w:kern w:val="2"/>
                <w:sz w:val="21"/>
              </w:rPr>
            </w:pPr>
            <w:r>
              <w:rPr>
                <w:b/>
                <w:snapToGrid w:val="0"/>
                <w:color w:val="000000"/>
                <w:kern w:val="2"/>
              </w:rPr>
              <w:t>沸点、初沸点和沸程(℃):</w:t>
            </w:r>
            <w:r>
              <w:rPr>
                <w:rFonts w:hint="eastAsia"/>
                <w:b/>
                <w:snapToGrid w:val="0"/>
                <w:color w:val="000000"/>
                <w:kern w:val="2"/>
              </w:rPr>
              <w:t xml:space="preserve"> </w:t>
            </w:r>
            <w:r>
              <w:rPr>
                <w:rFonts w:hint="eastAsia" w:ascii="Times New Roman" w:hAnsi="Times New Roman" w:cs="Times New Roman"/>
                <w:kern w:val="2"/>
                <w:sz w:val="21"/>
              </w:rPr>
              <w:t>118.1（101.7kP</w:t>
            </w:r>
            <w:r>
              <w:rPr>
                <w:rFonts w:ascii="Times New Roman" w:hAnsi="Times New Roman" w:cs="Times New Roman"/>
                <w:kern w:val="2"/>
                <w:sz w:val="21"/>
              </w:rPr>
              <w:t>a</w:t>
            </w:r>
          </w:p>
        </w:tc>
        <w:tc>
          <w:tcPr>
            <w:tcW w:w="2152" w:type="pct"/>
            <w:vAlign w:val="center"/>
          </w:tcPr>
          <w:p>
            <w:pPr>
              <w:pStyle w:val="5"/>
              <w:spacing w:line="400" w:lineRule="atLeast"/>
            </w:pPr>
            <w:r>
              <w:rPr>
                <w:rFonts w:hint="eastAsia"/>
                <w:b/>
                <w:snapToGrid w:val="0"/>
                <w:color w:val="000000"/>
                <w:kern w:val="2"/>
              </w:rPr>
              <w:t>黏度</w:t>
            </w:r>
            <w:r>
              <w:rPr>
                <w:b/>
                <w:snapToGrid w:val="0"/>
                <w:color w:val="000000"/>
                <w:kern w:val="2"/>
              </w:rPr>
              <w:t>(</w:t>
            </w:r>
            <w:r>
              <w:rPr>
                <w:rFonts w:hint="eastAsia"/>
                <w:b/>
                <w:snapToGrid w:val="0"/>
                <w:color w:val="000000"/>
                <w:kern w:val="2"/>
              </w:rPr>
              <w:t>mPa·s</w:t>
            </w:r>
            <w:r>
              <w:rPr>
                <w:b/>
                <w:snapToGrid w:val="0"/>
                <w:color w:val="000000"/>
                <w:kern w:val="2"/>
              </w:rPr>
              <w:t>):</w:t>
            </w:r>
            <w:r>
              <w:rPr>
                <w:rFonts w:hint="eastAsia"/>
                <w:b/>
                <w:snapToGrid w:val="0"/>
                <w:color w:val="000000"/>
                <w:kern w:val="2"/>
              </w:rPr>
              <w:t xml:space="preserve"> </w:t>
            </w:r>
            <w:r>
              <w:rPr>
                <w:rFonts w:hint="eastAsia" w:ascii="Times New Roman" w:hAnsi="Times New Roman" w:cs="Times New Roman"/>
                <w:kern w:val="2"/>
                <w:sz w:val="21"/>
              </w:rPr>
              <w:t>1.22（25℃）</w:t>
            </w:r>
          </w:p>
        </w:tc>
      </w:tr>
      <w:tr>
        <w:tblPrEx>
          <w:tblCellMar>
            <w:top w:w="0" w:type="dxa"/>
            <w:left w:w="0" w:type="dxa"/>
            <w:bottom w:w="0" w:type="dxa"/>
            <w:right w:w="0" w:type="dxa"/>
          </w:tblCellMar>
        </w:tblPrEx>
        <w:trPr>
          <w:tblCellSpacing w:w="0" w:type="dxa"/>
        </w:trPr>
        <w:tc>
          <w:tcPr>
            <w:tcW w:w="0" w:type="auto"/>
            <w:vAlign w:val="center"/>
          </w:tcPr>
          <w:p>
            <w:pPr>
              <w:pStyle w:val="5"/>
              <w:spacing w:line="400" w:lineRule="atLeast"/>
              <w:ind w:left="105"/>
            </w:pPr>
            <w:r>
              <w:rPr>
                <w:b/>
                <w:snapToGrid w:val="0"/>
                <w:color w:val="000000"/>
                <w:kern w:val="2"/>
              </w:rPr>
              <w:t>相对蒸气密度(空气=1):</w:t>
            </w:r>
            <w:r>
              <w:rPr>
                <w:rFonts w:hint="eastAsia"/>
                <w:b/>
                <w:snapToGrid w:val="0"/>
                <w:color w:val="000000"/>
                <w:kern w:val="2"/>
              </w:rPr>
              <w:t xml:space="preserve"> </w:t>
            </w:r>
            <w:r>
              <w:rPr>
                <w:rFonts w:hint="eastAsia" w:ascii="Times New Roman" w:hAnsi="Times New Roman" w:cs="Times New Roman"/>
                <w:kern w:val="2"/>
                <w:sz w:val="21"/>
              </w:rPr>
              <w:t>2.07</w:t>
            </w:r>
          </w:p>
        </w:tc>
        <w:tc>
          <w:tcPr>
            <w:tcW w:w="2152" w:type="pct"/>
            <w:vAlign w:val="center"/>
          </w:tcPr>
          <w:p>
            <w:pPr>
              <w:pStyle w:val="5"/>
              <w:spacing w:line="400" w:lineRule="atLeast"/>
              <w:rPr>
                <w:color w:val="000000"/>
                <w:sz w:val="18"/>
                <w:szCs w:val="18"/>
                <w:shd w:val="clear" w:color="auto" w:fill="FFFFFF"/>
              </w:rPr>
            </w:pPr>
            <w:r>
              <w:rPr>
                <w:b/>
                <w:snapToGrid w:val="0"/>
                <w:color w:val="000000"/>
                <w:kern w:val="2"/>
              </w:rPr>
              <w:t>相对密度(水=1):</w:t>
            </w:r>
            <w:r>
              <w:rPr>
                <w:rFonts w:hint="eastAsia"/>
                <w:b/>
                <w:snapToGrid w:val="0"/>
                <w:color w:val="000000"/>
                <w:kern w:val="2"/>
              </w:rPr>
              <w:t xml:space="preserve"> </w:t>
            </w:r>
            <w:r>
              <w:rPr>
                <w:rFonts w:hint="eastAsia" w:ascii="Times New Roman" w:hAnsi="Times New Roman" w:cs="Times New Roman"/>
                <w:kern w:val="2"/>
                <w:sz w:val="21"/>
              </w:rPr>
              <w:t>1.05（20℃）</w:t>
            </w:r>
          </w:p>
        </w:tc>
      </w:tr>
      <w:tr>
        <w:tblPrEx>
          <w:tblCellMar>
            <w:top w:w="0" w:type="dxa"/>
            <w:left w:w="0" w:type="dxa"/>
            <w:bottom w:w="0" w:type="dxa"/>
            <w:right w:w="0" w:type="dxa"/>
          </w:tblCellMar>
        </w:tblPrEx>
        <w:trPr>
          <w:tblCellSpacing w:w="0" w:type="dxa"/>
        </w:trPr>
        <w:tc>
          <w:tcPr>
            <w:tcW w:w="0" w:type="auto"/>
            <w:vAlign w:val="center"/>
          </w:tcPr>
          <w:p>
            <w:pPr>
              <w:pStyle w:val="5"/>
              <w:spacing w:line="400" w:lineRule="atLeast"/>
              <w:ind w:left="105"/>
            </w:pPr>
            <w:r>
              <w:rPr>
                <w:b/>
                <w:snapToGrid w:val="0"/>
                <w:color w:val="000000"/>
                <w:kern w:val="2"/>
              </w:rPr>
              <w:t>燃烧热(kJ/mol):</w:t>
            </w:r>
            <w:r>
              <w:rPr>
                <w:rFonts w:hint="eastAsia" w:ascii="Times New Roman" w:hAnsi="Times New Roman" w:cs="Times New Roman"/>
                <w:kern w:val="2"/>
                <w:sz w:val="21"/>
              </w:rPr>
              <w:t xml:space="preserve"> -873.7</w:t>
            </w:r>
          </w:p>
        </w:tc>
        <w:tc>
          <w:tcPr>
            <w:tcW w:w="2152" w:type="pct"/>
            <w:vAlign w:val="center"/>
          </w:tcPr>
          <w:p>
            <w:pPr>
              <w:pStyle w:val="5"/>
              <w:spacing w:line="400" w:lineRule="atLeast"/>
            </w:pPr>
            <w:r>
              <w:rPr>
                <w:b/>
                <w:snapToGrid w:val="0"/>
                <w:color w:val="000000"/>
                <w:kern w:val="2"/>
              </w:rPr>
              <w:t>饱和蒸气压(kPa):</w:t>
            </w:r>
            <w:r>
              <w:rPr>
                <w:rFonts w:hint="eastAsia" w:ascii="Times New Roman" w:hAnsi="Times New Roman" w:cs="Times New Roman"/>
                <w:kern w:val="2"/>
                <w:sz w:val="21"/>
              </w:rPr>
              <w:t>1.52（20℃）</w:t>
            </w:r>
          </w:p>
        </w:tc>
      </w:tr>
      <w:tr>
        <w:tblPrEx>
          <w:tblCellMar>
            <w:top w:w="0" w:type="dxa"/>
            <w:left w:w="0" w:type="dxa"/>
            <w:bottom w:w="0" w:type="dxa"/>
            <w:right w:w="0" w:type="dxa"/>
          </w:tblCellMar>
        </w:tblPrEx>
        <w:trPr>
          <w:tblCellSpacing w:w="0" w:type="dxa"/>
        </w:trPr>
        <w:tc>
          <w:tcPr>
            <w:tcW w:w="0" w:type="auto"/>
            <w:vAlign w:val="center"/>
          </w:tcPr>
          <w:p>
            <w:pPr>
              <w:pStyle w:val="5"/>
              <w:spacing w:line="400" w:lineRule="atLeast"/>
              <w:ind w:left="105"/>
            </w:pPr>
            <w:r>
              <w:rPr>
                <w:b/>
                <w:snapToGrid w:val="0"/>
                <w:color w:val="000000"/>
                <w:kern w:val="2"/>
              </w:rPr>
              <w:t>临界压力(MPa): </w:t>
            </w:r>
            <w:r>
              <w:rPr>
                <w:rFonts w:hint="eastAsia" w:ascii="Times New Roman" w:hAnsi="Times New Roman" w:cs="Times New Roman"/>
                <w:kern w:val="2"/>
                <w:sz w:val="21"/>
              </w:rPr>
              <w:t>5.78</w:t>
            </w:r>
          </w:p>
        </w:tc>
        <w:tc>
          <w:tcPr>
            <w:tcW w:w="2152" w:type="pct"/>
            <w:vAlign w:val="center"/>
          </w:tcPr>
          <w:p>
            <w:pPr>
              <w:pStyle w:val="5"/>
              <w:spacing w:line="400" w:lineRule="atLeast"/>
            </w:pPr>
            <w:r>
              <w:rPr>
                <w:b/>
                <w:snapToGrid w:val="0"/>
                <w:color w:val="000000"/>
                <w:kern w:val="2"/>
              </w:rPr>
              <w:t>临界温度(℃):</w:t>
            </w:r>
            <w:r>
              <w:rPr>
                <w:rStyle w:val="17"/>
                <w:rFonts w:hint="default"/>
              </w:rPr>
              <w:t> </w:t>
            </w:r>
            <w:r>
              <w:rPr>
                <w:rFonts w:hint="eastAsia" w:ascii="Times New Roman" w:hAnsi="Times New Roman" w:cs="Times New Roman"/>
                <w:kern w:val="2"/>
                <w:sz w:val="21"/>
              </w:rPr>
              <w:t>321.6</w:t>
            </w:r>
          </w:p>
        </w:tc>
      </w:tr>
      <w:tr>
        <w:trPr>
          <w:tblCellSpacing w:w="0" w:type="dxa"/>
        </w:trPr>
        <w:tc>
          <w:tcPr>
            <w:tcW w:w="0" w:type="auto"/>
            <w:vAlign w:val="center"/>
          </w:tcPr>
          <w:p>
            <w:pPr>
              <w:pStyle w:val="5"/>
              <w:spacing w:line="400" w:lineRule="atLeast"/>
              <w:jc w:val="both"/>
            </w:pPr>
            <w:r>
              <w:rPr>
                <w:rFonts w:hint="eastAsia"/>
                <w:b/>
                <w:snapToGrid w:val="0"/>
                <w:color w:val="000000"/>
                <w:kern w:val="2"/>
              </w:rPr>
              <w:t xml:space="preserve"> </w:t>
            </w:r>
            <w:r>
              <w:rPr>
                <w:b/>
                <w:snapToGrid w:val="0"/>
                <w:color w:val="000000"/>
                <w:kern w:val="2"/>
              </w:rPr>
              <w:t xml:space="preserve">闪点 (℃): </w:t>
            </w:r>
            <w:r>
              <w:rPr>
                <w:rFonts w:hint="eastAsia" w:ascii="Times New Roman" w:hAnsi="Times New Roman" w:cs="Times New Roman"/>
                <w:kern w:val="2"/>
                <w:sz w:val="21"/>
              </w:rPr>
              <w:t>39（CC）；43（OC）</w:t>
            </w:r>
          </w:p>
        </w:tc>
        <w:tc>
          <w:tcPr>
            <w:tcW w:w="2152" w:type="pct"/>
            <w:vAlign w:val="center"/>
          </w:tcPr>
          <w:p>
            <w:pPr>
              <w:pStyle w:val="5"/>
              <w:spacing w:line="400" w:lineRule="atLeast"/>
              <w:ind w:left="105" w:leftChars="50"/>
            </w:pPr>
            <w:r>
              <w:rPr>
                <w:b/>
                <w:snapToGrid w:val="0"/>
                <w:color w:val="000000"/>
                <w:kern w:val="2"/>
              </w:rPr>
              <w:t>n-辛醇/水分配系数:</w:t>
            </w:r>
            <w:r>
              <w:rPr>
                <w:rStyle w:val="17"/>
                <w:rFonts w:hint="default"/>
              </w:rPr>
              <w:t> </w:t>
            </w:r>
            <w:r>
              <w:rPr>
                <w:rFonts w:hint="eastAsia" w:ascii="Times New Roman" w:hAnsi="Times New Roman" w:cs="Times New Roman"/>
                <w:kern w:val="2"/>
                <w:sz w:val="21"/>
              </w:rPr>
              <w:t>-0.31-0.17</w:t>
            </w:r>
          </w:p>
        </w:tc>
      </w:tr>
      <w:tr>
        <w:tblPrEx>
          <w:tblCellMar>
            <w:top w:w="0" w:type="dxa"/>
            <w:left w:w="0" w:type="dxa"/>
            <w:bottom w:w="0" w:type="dxa"/>
            <w:right w:w="0" w:type="dxa"/>
          </w:tblCellMar>
        </w:tblPrEx>
        <w:trPr>
          <w:tblCellSpacing w:w="0" w:type="dxa"/>
        </w:trPr>
        <w:tc>
          <w:tcPr>
            <w:tcW w:w="0" w:type="auto"/>
            <w:vAlign w:val="center"/>
          </w:tcPr>
          <w:p>
            <w:pPr>
              <w:pStyle w:val="5"/>
              <w:spacing w:line="400" w:lineRule="atLeast"/>
              <w:ind w:left="105"/>
              <w:rPr>
                <w:rStyle w:val="15"/>
                <w:rFonts w:hint="default"/>
              </w:rPr>
            </w:pPr>
            <w:r>
              <w:rPr>
                <w:b/>
                <w:snapToGrid w:val="0"/>
                <w:color w:val="000000"/>
                <w:kern w:val="2"/>
              </w:rPr>
              <w:t>分解温度(℃):</w:t>
            </w:r>
            <w:r>
              <w:rPr>
                <w:rFonts w:hint="eastAsia"/>
                <w:b/>
                <w:snapToGrid w:val="0"/>
                <w:color w:val="000000"/>
                <w:kern w:val="2"/>
              </w:rPr>
              <w:t xml:space="preserve"> </w:t>
            </w:r>
            <w:r>
              <w:rPr>
                <w:rFonts w:hint="eastAsia" w:ascii="Times New Roman" w:hAnsi="Times New Roman" w:cs="Times New Roman"/>
                <w:kern w:val="2"/>
                <w:sz w:val="21"/>
              </w:rPr>
              <w:t>无资料</w:t>
            </w:r>
          </w:p>
        </w:tc>
        <w:tc>
          <w:tcPr>
            <w:tcW w:w="2152" w:type="pct"/>
            <w:vAlign w:val="center"/>
          </w:tcPr>
          <w:p>
            <w:pPr>
              <w:pStyle w:val="5"/>
              <w:spacing w:line="400" w:lineRule="atLeast"/>
              <w:rPr>
                <w:rStyle w:val="15"/>
                <w:rFonts w:hint="default"/>
              </w:rPr>
            </w:pPr>
            <w:r>
              <w:rPr>
                <w:rFonts w:hint="eastAsia"/>
                <w:b/>
                <w:snapToGrid w:val="0"/>
                <w:color w:val="000000"/>
                <w:kern w:val="2"/>
              </w:rPr>
              <w:t>自</w:t>
            </w:r>
            <w:r>
              <w:rPr>
                <w:b/>
                <w:snapToGrid w:val="0"/>
                <w:color w:val="000000"/>
                <w:kern w:val="2"/>
              </w:rPr>
              <w:t>燃温度（℃）：</w:t>
            </w:r>
            <w:r>
              <w:rPr>
                <w:rFonts w:hint="eastAsia" w:ascii="Times New Roman" w:hAnsi="Times New Roman" w:cs="Times New Roman"/>
                <w:kern w:val="2"/>
                <w:sz w:val="21"/>
              </w:rPr>
              <w:t>426</w:t>
            </w:r>
          </w:p>
        </w:tc>
      </w:tr>
      <w:tr>
        <w:tblPrEx>
          <w:tblCellMar>
            <w:top w:w="0" w:type="dxa"/>
            <w:left w:w="0" w:type="dxa"/>
            <w:bottom w:w="0" w:type="dxa"/>
            <w:right w:w="0" w:type="dxa"/>
          </w:tblCellMar>
        </w:tblPrEx>
        <w:trPr>
          <w:tblCellSpacing w:w="0" w:type="dxa"/>
        </w:trPr>
        <w:tc>
          <w:tcPr>
            <w:tcW w:w="0" w:type="auto"/>
            <w:vAlign w:val="center"/>
          </w:tcPr>
          <w:p>
            <w:pPr>
              <w:pStyle w:val="5"/>
              <w:spacing w:line="400" w:lineRule="atLeast"/>
              <w:ind w:left="105"/>
            </w:pPr>
            <w:r>
              <w:rPr>
                <w:b/>
                <w:snapToGrid w:val="0"/>
                <w:color w:val="000000"/>
                <w:kern w:val="2"/>
              </w:rPr>
              <w:t>爆炸下限[％(V/V)]:</w:t>
            </w:r>
            <w:r>
              <w:rPr>
                <w:rFonts w:hint="eastAsia"/>
                <w:b/>
                <w:snapToGrid w:val="0"/>
                <w:color w:val="000000"/>
                <w:kern w:val="2"/>
              </w:rPr>
              <w:t xml:space="preserve"> </w:t>
            </w:r>
            <w:r>
              <w:rPr>
                <w:rFonts w:hint="eastAsia" w:ascii="Times New Roman" w:hAnsi="Times New Roman" w:cs="Times New Roman"/>
                <w:kern w:val="2"/>
                <w:sz w:val="21"/>
              </w:rPr>
              <w:t>5.4</w:t>
            </w:r>
          </w:p>
        </w:tc>
        <w:tc>
          <w:tcPr>
            <w:tcW w:w="2152" w:type="pct"/>
            <w:vAlign w:val="center"/>
          </w:tcPr>
          <w:p>
            <w:pPr>
              <w:pStyle w:val="5"/>
              <w:spacing w:line="400" w:lineRule="atLeast"/>
            </w:pPr>
            <w:r>
              <w:rPr>
                <w:b/>
                <w:snapToGrid w:val="0"/>
                <w:color w:val="000000"/>
                <w:kern w:val="2"/>
              </w:rPr>
              <w:t>爆炸上限[％(V/V)]:</w:t>
            </w:r>
            <w:r>
              <w:rPr>
                <w:rStyle w:val="17"/>
                <w:rFonts w:hint="default"/>
              </w:rPr>
              <w:t> </w:t>
            </w:r>
            <w:r>
              <w:rPr>
                <w:rFonts w:hint="eastAsia" w:ascii="Times New Roman" w:hAnsi="Times New Roman" w:cs="Times New Roman"/>
                <w:kern w:val="2"/>
                <w:sz w:val="21"/>
              </w:rPr>
              <w:t>16.0</w:t>
            </w:r>
          </w:p>
        </w:tc>
      </w:tr>
    </w:tbl>
    <w:p>
      <w:pPr>
        <w:pStyle w:val="5"/>
        <w:spacing w:before="80" w:beforeAutospacing="0" w:after="80" w:afterAutospacing="0" w:line="400" w:lineRule="atLeast"/>
        <w:ind w:left="1202" w:hanging="1202"/>
        <w:rPr>
          <w:rFonts w:ascii="Times New Roman" w:hAnsi="Times New Roman" w:cs="Times New Roman"/>
          <w:kern w:val="2"/>
          <w:sz w:val="21"/>
        </w:rPr>
      </w:pPr>
      <w:r>
        <w:rPr>
          <w:b/>
          <w:snapToGrid w:val="0"/>
          <w:color w:val="000000"/>
          <w:kern w:val="2"/>
        </w:rPr>
        <w:t>溶解性：</w:t>
      </w:r>
      <w:r>
        <w:rPr>
          <w:rFonts w:hint="eastAsia" w:ascii="Times New Roman" w:hAnsi="Times New Roman" w:cs="Times New Roman"/>
          <w:kern w:val="2"/>
          <w:sz w:val="21"/>
        </w:rPr>
        <w:t>溶于水、乙醇、乙醚、甘油，不溶于二硫化碳</w:t>
      </w:r>
    </w:p>
    <w:p>
      <w:pPr>
        <w:pStyle w:val="5"/>
        <w:spacing w:before="80" w:beforeAutospacing="0" w:after="80" w:afterAutospacing="0" w:line="400" w:lineRule="atLeast"/>
        <w:ind w:left="1202" w:hanging="1202"/>
        <w:jc w:val="center"/>
        <w:rPr>
          <w:rFonts w:ascii="Calibri" w:hAnsi="Calibri" w:cs="Calibri" w:eastAsiaTheme="minorEastAsia"/>
          <w:b/>
          <w:kern w:val="2"/>
          <w:sz w:val="28"/>
          <w:szCs w:val="28"/>
        </w:rPr>
      </w:pPr>
      <w:r>
        <w:rPr>
          <w:rFonts w:hint="eastAsia" w:ascii="Calibri" w:hAnsi="Calibri" w:cs="Calibri" w:eastAsiaTheme="minorEastAsia"/>
          <w:b/>
          <w:kern w:val="2"/>
          <w:sz w:val="28"/>
          <w:szCs w:val="28"/>
        </w:rPr>
        <w:t>第十部分  稳定性和反应性</w:t>
      </w:r>
    </w:p>
    <w:p>
      <w:pPr>
        <w:pStyle w:val="12"/>
        <w:spacing w:before="0" w:beforeLines="0"/>
        <w:ind w:left="1205" w:hanging="1205" w:hangingChars="500"/>
        <w:rPr>
          <w:rFonts w:ascii="Calibri" w:hAnsi="Calibri" w:cs="Calibri" w:eastAsiaTheme="minorEastAsia"/>
          <w:b/>
          <w:snapToGrid/>
          <w:color w:val="auto"/>
          <w:kern w:val="2"/>
          <w:sz w:val="28"/>
          <w:szCs w:val="28"/>
        </w:rPr>
      </w:pPr>
      <w:r>
        <w:rPr>
          <w:rFonts w:hint="eastAsia"/>
          <w:b/>
          <w:kern w:val="2"/>
          <w:sz w:val="24"/>
          <w:szCs w:val="24"/>
        </w:rPr>
        <w:t>稳定性</w:t>
      </w:r>
      <w:r>
        <w:rPr>
          <w:rFonts w:hint="eastAsia" w:ascii="Calibri" w:hAnsi="Calibri" w:cs="Calibri" w:eastAsiaTheme="minorEastAsia"/>
          <w:b/>
          <w:snapToGrid/>
          <w:color w:val="auto"/>
          <w:kern w:val="2"/>
          <w:sz w:val="28"/>
          <w:szCs w:val="28"/>
        </w:rPr>
        <w:t>：</w:t>
      </w:r>
      <w:r>
        <w:rPr>
          <w:rFonts w:hint="eastAsia"/>
          <w:snapToGrid/>
          <w:color w:val="auto"/>
          <w:sz w:val="21"/>
          <w:szCs w:val="21"/>
        </w:rPr>
        <w:t>稳定</w:t>
      </w:r>
    </w:p>
    <w:p>
      <w:pPr>
        <w:pStyle w:val="12"/>
        <w:spacing w:before="0" w:beforeLines="0"/>
        <w:ind w:left="1205" w:hanging="1205" w:hangingChars="500"/>
        <w:rPr>
          <w:snapToGrid/>
          <w:color w:val="auto"/>
          <w:sz w:val="21"/>
          <w:szCs w:val="21"/>
        </w:rPr>
      </w:pPr>
      <w:r>
        <w:rPr>
          <w:rFonts w:hint="eastAsia"/>
          <w:b/>
          <w:kern w:val="2"/>
          <w:sz w:val="24"/>
          <w:szCs w:val="24"/>
        </w:rPr>
        <w:t>禁配物：</w:t>
      </w:r>
      <w:r>
        <w:rPr>
          <w:rFonts w:hint="eastAsia"/>
          <w:snapToGrid/>
          <w:color w:val="auto"/>
          <w:sz w:val="21"/>
          <w:szCs w:val="21"/>
        </w:rPr>
        <w:t>碱类、强氧化剂</w:t>
      </w:r>
    </w:p>
    <w:p>
      <w:pPr>
        <w:pStyle w:val="12"/>
        <w:spacing w:before="0" w:beforeLines="0"/>
        <w:ind w:left="1205" w:hanging="1205" w:hangingChars="500"/>
        <w:rPr>
          <w:rFonts w:ascii="Calibri" w:hAnsi="Calibri" w:cs="Calibri" w:eastAsiaTheme="minorEastAsia"/>
          <w:b/>
          <w:snapToGrid/>
          <w:color w:val="auto"/>
          <w:kern w:val="2"/>
          <w:sz w:val="28"/>
          <w:szCs w:val="28"/>
        </w:rPr>
      </w:pPr>
      <w:r>
        <w:rPr>
          <w:rFonts w:hint="eastAsia"/>
          <w:b/>
          <w:kern w:val="2"/>
          <w:sz w:val="24"/>
          <w:szCs w:val="24"/>
        </w:rPr>
        <w:t>避免接触的条件：</w:t>
      </w:r>
      <w:r>
        <w:rPr>
          <w:rFonts w:hint="eastAsia"/>
          <w:snapToGrid/>
          <w:color w:val="auto"/>
          <w:sz w:val="21"/>
          <w:szCs w:val="21"/>
        </w:rPr>
        <w:t>无资料</w:t>
      </w:r>
    </w:p>
    <w:p>
      <w:pPr>
        <w:pStyle w:val="12"/>
        <w:spacing w:before="0" w:beforeLines="0"/>
        <w:ind w:left="1205" w:hanging="1205" w:hangingChars="500"/>
        <w:rPr>
          <w:snapToGrid/>
          <w:color w:val="auto"/>
          <w:sz w:val="21"/>
          <w:szCs w:val="21"/>
        </w:rPr>
      </w:pPr>
      <w:r>
        <w:rPr>
          <w:rFonts w:hint="eastAsia"/>
          <w:b/>
          <w:kern w:val="2"/>
          <w:sz w:val="24"/>
          <w:szCs w:val="24"/>
        </w:rPr>
        <w:t>危险反应：</w:t>
      </w:r>
      <w:r>
        <w:rPr>
          <w:rFonts w:hint="eastAsia"/>
          <w:snapToGrid/>
          <w:color w:val="auto"/>
          <w:sz w:val="21"/>
          <w:szCs w:val="21"/>
        </w:rPr>
        <w:t>遇明火、高热能引起燃烧爆炸。与铬酸、过氧化钠、硝酸或其它氧化剂接触，有爆炸危险</w:t>
      </w:r>
    </w:p>
    <w:p>
      <w:pPr>
        <w:pStyle w:val="12"/>
        <w:spacing w:before="0" w:beforeLines="0"/>
        <w:ind w:left="1205" w:hanging="1205" w:hangingChars="500"/>
        <w:rPr>
          <w:snapToGrid/>
          <w:color w:val="auto"/>
          <w:sz w:val="21"/>
          <w:szCs w:val="21"/>
        </w:rPr>
      </w:pPr>
      <w:r>
        <w:rPr>
          <w:rFonts w:hint="eastAsia"/>
          <w:b/>
          <w:kern w:val="2"/>
          <w:sz w:val="24"/>
          <w:szCs w:val="24"/>
        </w:rPr>
        <w:t>危险的分解物：</w:t>
      </w:r>
      <w:r>
        <w:rPr>
          <w:rFonts w:hint="eastAsia"/>
          <w:snapToGrid/>
          <w:color w:val="auto"/>
          <w:sz w:val="21"/>
          <w:szCs w:val="21"/>
        </w:rPr>
        <w:t>一氧化碳</w:t>
      </w:r>
    </w:p>
    <w:p>
      <w:pPr>
        <w:pStyle w:val="12"/>
        <w:spacing w:before="156"/>
        <w:ind w:left="1405" w:hanging="1405" w:hangingChars="500"/>
        <w:jc w:val="center"/>
        <w:rPr>
          <w:rFonts w:ascii="Calibri" w:hAnsi="Calibri" w:cs="Calibri" w:eastAsiaTheme="minorEastAsia"/>
          <w:b/>
          <w:snapToGrid/>
          <w:color w:val="auto"/>
          <w:kern w:val="2"/>
          <w:sz w:val="28"/>
          <w:szCs w:val="28"/>
        </w:rPr>
      </w:pPr>
      <w:r>
        <w:rPr>
          <w:rFonts w:hint="eastAsia" w:ascii="Calibri" w:hAnsi="Calibri" w:cs="Calibri" w:eastAsiaTheme="minorEastAsia"/>
          <w:b/>
          <w:snapToGrid/>
          <w:color w:val="auto"/>
          <w:kern w:val="2"/>
          <w:sz w:val="28"/>
          <w:szCs w:val="28"/>
        </w:rPr>
        <w:t>第十一部分  毒理学信息</w:t>
      </w:r>
    </w:p>
    <w:p>
      <w:pPr>
        <w:spacing w:line="360" w:lineRule="auto"/>
        <w:jc w:val="left"/>
        <w:rPr>
          <w:rFonts w:ascii="宋体" w:hAnsi="宋体"/>
          <w:szCs w:val="21"/>
        </w:rPr>
      </w:pPr>
      <w:r>
        <w:rPr>
          <w:rFonts w:ascii="宋体" w:hAnsi="宋体" w:eastAsia="宋体" w:cs="宋体"/>
          <w:b/>
          <w:snapToGrid w:val="0"/>
          <w:color w:val="000000"/>
          <w:sz w:val="24"/>
          <w:szCs w:val="24"/>
        </w:rPr>
        <w:t>急性毒性：</w:t>
      </w:r>
      <w:r>
        <w:rPr>
          <w:rFonts w:hint="eastAsia" w:ascii="宋体" w:hAnsi="宋体"/>
          <w:szCs w:val="21"/>
        </w:rPr>
        <w:t>LD</w:t>
      </w:r>
      <w:r>
        <w:rPr>
          <w:rFonts w:hint="eastAsia" w:ascii="宋体" w:hAnsi="宋体"/>
          <w:szCs w:val="21"/>
          <w:vertAlign w:val="subscript"/>
        </w:rPr>
        <w:t xml:space="preserve">50 </w:t>
      </w:r>
      <w:r>
        <w:rPr>
          <w:rFonts w:hint="eastAsia" w:ascii="宋体" w:hAnsi="宋体"/>
          <w:szCs w:val="21"/>
        </w:rPr>
        <w:t>3530mg/kg（大鼠经口）；1060mg/kg（兔经皮）</w:t>
      </w:r>
    </w:p>
    <w:p>
      <w:pPr>
        <w:spacing w:line="360" w:lineRule="auto"/>
        <w:jc w:val="left"/>
        <w:rPr>
          <w:rFonts w:ascii="宋体" w:hAnsi="宋体"/>
          <w:szCs w:val="21"/>
        </w:rPr>
      </w:pPr>
      <w:r>
        <w:rPr>
          <w:rFonts w:hint="eastAsia" w:ascii="宋体" w:hAnsi="宋体"/>
          <w:szCs w:val="21"/>
        </w:rPr>
        <w:t xml:space="preserve">            LC</w:t>
      </w:r>
      <w:r>
        <w:rPr>
          <w:rFonts w:hint="eastAsia" w:ascii="宋体" w:hAnsi="宋体"/>
          <w:szCs w:val="21"/>
          <w:vertAlign w:val="subscript"/>
        </w:rPr>
        <w:t xml:space="preserve"> 50</w:t>
      </w:r>
      <w:r>
        <w:rPr>
          <w:rFonts w:hint="eastAsia" w:ascii="宋体" w:hAnsi="宋体"/>
          <w:szCs w:val="21"/>
        </w:rPr>
        <w:t xml:space="preserve"> 13791mg/m3，1小时（小鼠吸入）</w:t>
      </w:r>
    </w:p>
    <w:p>
      <w:pPr>
        <w:spacing w:line="360" w:lineRule="auto"/>
        <w:jc w:val="left"/>
        <w:rPr>
          <w:szCs w:val="21"/>
        </w:rPr>
      </w:pPr>
      <w:r>
        <w:rPr>
          <w:rFonts w:ascii="宋体" w:hAnsi="宋体" w:eastAsia="宋体" w:cs="宋体"/>
          <w:b/>
          <w:snapToGrid w:val="0"/>
          <w:color w:val="000000"/>
          <w:sz w:val="24"/>
          <w:szCs w:val="24"/>
        </w:rPr>
        <w:t>皮肤刺激或腐蚀：</w:t>
      </w:r>
      <w:r>
        <w:rPr>
          <w:rFonts w:hint="eastAsia"/>
          <w:szCs w:val="21"/>
        </w:rPr>
        <w:t>家兔经皮：50mg（24h），轻度刺激</w:t>
      </w:r>
    </w:p>
    <w:p>
      <w:pPr>
        <w:spacing w:line="360" w:lineRule="auto"/>
        <w:jc w:val="left"/>
        <w:rPr>
          <w:szCs w:val="21"/>
        </w:rPr>
      </w:pPr>
      <w:r>
        <w:rPr>
          <w:b/>
          <w:snapToGrid w:val="0"/>
          <w:color w:val="000000"/>
        </w:rPr>
        <w:t>眼睛刺激或腐蚀：</w:t>
      </w:r>
      <w:r>
        <w:rPr>
          <w:rFonts w:hint="eastAsia" w:cs="Times New Roman"/>
          <w:szCs w:val="21"/>
        </w:rPr>
        <w:t xml:space="preserve">  </w:t>
      </w:r>
      <w:r>
        <w:rPr>
          <w:rFonts w:hint="eastAsia"/>
          <w:szCs w:val="21"/>
        </w:rPr>
        <w:t>家兔经眼：5mg（30s），轻度刺激（用水冲洗）</w:t>
      </w:r>
    </w:p>
    <w:p>
      <w:pPr>
        <w:spacing w:line="360" w:lineRule="auto"/>
        <w:jc w:val="left"/>
        <w:rPr>
          <w:rStyle w:val="15"/>
          <w:rFonts w:hint="default" w:cs="Arial"/>
          <w:color w:val="000000"/>
          <w:szCs w:val="21"/>
        </w:rPr>
      </w:pPr>
      <w:r>
        <w:rPr>
          <w:b/>
          <w:snapToGrid w:val="0"/>
          <w:color w:val="000000"/>
        </w:rPr>
        <w:t>呼吸或皮肤过敏：</w:t>
      </w:r>
      <w:r>
        <w:rPr>
          <w:szCs w:val="21"/>
        </w:rPr>
        <w:t>无资料</w:t>
      </w:r>
    </w:p>
    <w:p>
      <w:pPr>
        <w:autoSpaceDE w:val="0"/>
        <w:autoSpaceDN w:val="0"/>
        <w:spacing w:line="360" w:lineRule="auto"/>
        <w:ind w:left="1205" w:hanging="1205" w:hangingChars="500"/>
        <w:jc w:val="left"/>
        <w:rPr>
          <w:rFonts w:ascii="宋体" w:hAnsi="宋体" w:cs="AdobeSongStd-Light-Acro"/>
          <w:kern w:val="0"/>
          <w:szCs w:val="21"/>
        </w:rPr>
      </w:pPr>
      <w:r>
        <w:rPr>
          <w:rFonts w:ascii="宋体" w:hAnsi="宋体" w:eastAsia="宋体" w:cs="宋体"/>
          <w:b/>
          <w:snapToGrid w:val="0"/>
          <w:color w:val="000000"/>
          <w:sz w:val="24"/>
          <w:szCs w:val="24"/>
        </w:rPr>
        <w:t>生殖细胞突变性：</w:t>
      </w:r>
      <w:r>
        <w:rPr>
          <w:rFonts w:hint="eastAsia"/>
          <w:szCs w:val="21"/>
        </w:rPr>
        <w:t>微生物致突变：大肠杆菌300ppm（3小时）。姊姊染色单体交换：人淋巴细胞5mmol/L。细胞遗传学分析：仓鼠卵巢10mmol/L</w:t>
      </w:r>
    </w:p>
    <w:p>
      <w:pPr>
        <w:pStyle w:val="5"/>
        <w:spacing w:before="0" w:beforeAutospacing="0" w:after="0" w:afterAutospacing="0" w:line="360" w:lineRule="auto"/>
        <w:ind w:left="1205" w:hanging="1205" w:hangingChars="500"/>
        <w:rPr>
          <w:rStyle w:val="15"/>
          <w:rFonts w:hint="default" w:cs="Times New Roman"/>
          <w:kern w:val="2"/>
          <w:sz w:val="21"/>
          <w:szCs w:val="21"/>
        </w:rPr>
      </w:pPr>
      <w:r>
        <w:rPr>
          <w:b/>
          <w:snapToGrid w:val="0"/>
          <w:color w:val="000000"/>
          <w:kern w:val="2"/>
        </w:rPr>
        <w:t>致癌性：</w:t>
      </w:r>
      <w:r>
        <w:rPr>
          <w:rFonts w:hint="eastAsia" w:cs="Times New Roman"/>
          <w:kern w:val="2"/>
          <w:sz w:val="21"/>
          <w:szCs w:val="21"/>
        </w:rPr>
        <w:t>无资料</w:t>
      </w:r>
    </w:p>
    <w:p>
      <w:pPr>
        <w:pStyle w:val="5"/>
        <w:spacing w:before="0" w:beforeAutospacing="0" w:after="0" w:afterAutospacing="0" w:line="360" w:lineRule="auto"/>
        <w:ind w:left="1205" w:hanging="1205" w:hangingChars="500"/>
        <w:rPr>
          <w:rFonts w:cs="Times New Roman"/>
          <w:kern w:val="2"/>
          <w:sz w:val="21"/>
          <w:szCs w:val="21"/>
        </w:rPr>
      </w:pPr>
      <w:r>
        <w:rPr>
          <w:b/>
          <w:snapToGrid w:val="0"/>
          <w:color w:val="000000"/>
          <w:kern w:val="2"/>
        </w:rPr>
        <w:t>生殖毒性：</w:t>
      </w:r>
      <w:r>
        <w:rPr>
          <w:rFonts w:hint="eastAsia" w:cs="Times New Roman"/>
          <w:kern w:val="2"/>
          <w:sz w:val="21"/>
          <w:szCs w:val="21"/>
        </w:rPr>
        <w:t>大鼠经口最低中毒剂量（TDL</w:t>
      </w:r>
      <w:r>
        <w:rPr>
          <w:rFonts w:hint="eastAsia" w:cs="Times New Roman"/>
          <w:kern w:val="2"/>
          <w:sz w:val="21"/>
          <w:szCs w:val="21"/>
          <w:vertAlign w:val="subscript"/>
        </w:rPr>
        <w:t>0</w:t>
      </w:r>
      <w:r>
        <w:rPr>
          <w:rFonts w:hint="eastAsia" w:cs="Times New Roman"/>
          <w:kern w:val="2"/>
          <w:sz w:val="21"/>
          <w:szCs w:val="21"/>
        </w:rPr>
        <w:t>）700mg/kg（18天，产后），对新生鼠行为有影响。大鼠睾丸内最低中毒剂量（TDL</w:t>
      </w:r>
      <w:r>
        <w:rPr>
          <w:rFonts w:hint="eastAsia" w:cs="Times New Roman"/>
          <w:kern w:val="2"/>
          <w:sz w:val="21"/>
          <w:szCs w:val="21"/>
          <w:vertAlign w:val="subscript"/>
        </w:rPr>
        <w:t>0</w:t>
      </w:r>
      <w:r>
        <w:rPr>
          <w:rFonts w:hint="eastAsia" w:cs="Times New Roman"/>
          <w:kern w:val="2"/>
          <w:sz w:val="21"/>
          <w:szCs w:val="21"/>
        </w:rPr>
        <w:t>）：400mg/kg（1天，雄性），对雄性生育指数有影响</w:t>
      </w:r>
    </w:p>
    <w:p>
      <w:pPr>
        <w:pStyle w:val="5"/>
        <w:spacing w:before="0" w:beforeAutospacing="0" w:after="0" w:afterAutospacing="0" w:line="360" w:lineRule="auto"/>
        <w:ind w:left="1205" w:hanging="1205" w:hangingChars="500"/>
        <w:rPr>
          <w:rFonts w:cs="Times New Roman"/>
          <w:kern w:val="2"/>
          <w:sz w:val="21"/>
          <w:szCs w:val="21"/>
        </w:rPr>
      </w:pPr>
      <w:r>
        <w:rPr>
          <w:b/>
          <w:snapToGrid w:val="0"/>
          <w:color w:val="000000"/>
          <w:kern w:val="2"/>
        </w:rPr>
        <w:t>特异性靶器官系统毒性——一次性接触：</w:t>
      </w:r>
      <w:r>
        <w:rPr>
          <w:rFonts w:hint="eastAsia" w:cs="Times New Roman"/>
          <w:kern w:val="2"/>
          <w:sz w:val="21"/>
          <w:szCs w:val="21"/>
        </w:rPr>
        <w:t>无资料</w:t>
      </w:r>
    </w:p>
    <w:p>
      <w:pPr>
        <w:pStyle w:val="5"/>
        <w:spacing w:before="0" w:beforeAutospacing="0" w:after="0" w:afterAutospacing="0" w:line="360" w:lineRule="auto"/>
        <w:ind w:left="1205" w:hanging="1205" w:hangingChars="500"/>
        <w:rPr>
          <w:rStyle w:val="15"/>
          <w:rFonts w:hint="default"/>
        </w:rPr>
      </w:pPr>
      <w:r>
        <w:rPr>
          <w:b/>
          <w:snapToGrid w:val="0"/>
          <w:color w:val="000000"/>
        </w:rPr>
        <w:t>特异性靶器官系统毒性——反复接触：</w:t>
      </w:r>
      <w:r>
        <w:rPr>
          <w:szCs w:val="21"/>
        </w:rPr>
        <w:t>无资料</w:t>
      </w:r>
    </w:p>
    <w:p>
      <w:pPr>
        <w:pStyle w:val="5"/>
        <w:spacing w:before="0" w:beforeAutospacing="0" w:after="0" w:afterAutospacing="0" w:line="360" w:lineRule="auto"/>
        <w:ind w:left="1205" w:hanging="1205" w:hangingChars="500"/>
        <w:rPr>
          <w:rStyle w:val="15"/>
          <w:rFonts w:hint="default"/>
        </w:rPr>
      </w:pPr>
      <w:r>
        <w:rPr>
          <w:b/>
          <w:snapToGrid w:val="0"/>
          <w:color w:val="000000"/>
          <w:kern w:val="2"/>
        </w:rPr>
        <w:t>吸入危害：</w:t>
      </w:r>
      <w:r>
        <w:rPr>
          <w:rFonts w:hint="eastAsia" w:cs="Times New Roman"/>
          <w:kern w:val="2"/>
          <w:sz w:val="21"/>
          <w:szCs w:val="21"/>
        </w:rPr>
        <w:t>无资料</w:t>
      </w:r>
    </w:p>
    <w:p>
      <w:pPr>
        <w:pStyle w:val="12"/>
        <w:spacing w:before="0" w:beforeLines="0"/>
        <w:ind w:left="1405" w:hanging="1405" w:hangingChars="500"/>
        <w:jc w:val="center"/>
        <w:rPr>
          <w:rFonts w:ascii="Calibri" w:hAnsi="Calibri" w:cs="Calibri" w:eastAsiaTheme="minorEastAsia"/>
          <w:b/>
          <w:snapToGrid/>
          <w:color w:val="auto"/>
          <w:kern w:val="2"/>
          <w:sz w:val="28"/>
          <w:szCs w:val="28"/>
        </w:rPr>
      </w:pPr>
      <w:r>
        <w:rPr>
          <w:rFonts w:hint="eastAsia" w:ascii="Calibri" w:hAnsi="Calibri" w:cs="Calibri" w:eastAsiaTheme="minorEastAsia"/>
          <w:b/>
          <w:snapToGrid/>
          <w:color w:val="auto"/>
          <w:kern w:val="2"/>
          <w:sz w:val="28"/>
          <w:szCs w:val="28"/>
        </w:rPr>
        <w:t>第十二部分  生态学信息</w:t>
      </w:r>
    </w:p>
    <w:p>
      <w:pPr>
        <w:spacing w:line="360" w:lineRule="auto"/>
        <w:jc w:val="left"/>
        <w:rPr>
          <w:color w:val="000000"/>
          <w:szCs w:val="21"/>
          <w:shd w:val="clear" w:color="auto" w:fill="FFFFFF"/>
        </w:rPr>
      </w:pPr>
      <w:r>
        <w:rPr>
          <w:rFonts w:ascii="宋体" w:hAnsi="宋体" w:eastAsia="宋体" w:cs="宋体"/>
          <w:b/>
          <w:snapToGrid w:val="0"/>
          <w:color w:val="000000"/>
          <w:kern w:val="0"/>
          <w:sz w:val="24"/>
          <w:szCs w:val="24"/>
        </w:rPr>
        <w:t>生态毒性：</w:t>
      </w:r>
      <w:r>
        <w:rPr>
          <w:color w:val="000000"/>
          <w:szCs w:val="21"/>
          <w:shd w:val="clear" w:color="auto" w:fill="FFFFFF"/>
        </w:rPr>
        <w:t>LC</w:t>
      </w:r>
      <w:r>
        <w:rPr>
          <w:color w:val="000000"/>
          <w:szCs w:val="21"/>
          <w:shd w:val="clear" w:color="auto" w:fill="FFFFFF"/>
          <w:vertAlign w:val="subscript"/>
        </w:rPr>
        <w:t xml:space="preserve">50 </w:t>
      </w:r>
      <w:r>
        <w:rPr>
          <w:rFonts w:hint="eastAsia"/>
          <w:color w:val="000000"/>
          <w:szCs w:val="21"/>
          <w:shd w:val="clear" w:color="auto" w:fill="FFFFFF"/>
          <w:vertAlign w:val="subscript"/>
        </w:rPr>
        <w:t xml:space="preserve"> </w:t>
      </w:r>
      <w:r>
        <w:rPr>
          <w:color w:val="000000"/>
          <w:szCs w:val="21"/>
          <w:shd w:val="clear" w:color="auto" w:fill="FFFFFF"/>
        </w:rPr>
        <w:t>92~106mg/L (48h),79~88mg/L (96h)</w:t>
      </w:r>
      <w:r>
        <w:rPr>
          <w:rFonts w:hint="eastAsia"/>
          <w:color w:val="000000"/>
          <w:szCs w:val="21"/>
          <w:shd w:val="clear" w:color="auto" w:fill="FFFFFF"/>
        </w:rPr>
        <w:t xml:space="preserve"> (黑头呆鱼);</w:t>
      </w:r>
    </w:p>
    <w:p>
      <w:pPr>
        <w:spacing w:line="360" w:lineRule="auto"/>
        <w:ind w:firstLine="1680" w:firstLineChars="800"/>
        <w:jc w:val="left"/>
        <w:rPr>
          <w:color w:val="000000"/>
          <w:szCs w:val="21"/>
          <w:shd w:val="clear" w:color="auto" w:fill="FFFFFF"/>
        </w:rPr>
      </w:pPr>
      <w:r>
        <w:rPr>
          <w:rFonts w:hint="eastAsia"/>
          <w:color w:val="000000"/>
          <w:szCs w:val="21"/>
          <w:shd w:val="clear" w:color="auto" w:fill="FFFFFF"/>
        </w:rPr>
        <w:t>75mg/L (96h) (蓝鳃太阳鱼); 251mg/L (96h)(食蚊鱼)</w:t>
      </w:r>
    </w:p>
    <w:p>
      <w:pPr>
        <w:spacing w:line="360" w:lineRule="auto"/>
        <w:ind w:firstLine="1260" w:firstLineChars="600"/>
        <w:jc w:val="left"/>
        <w:rPr>
          <w:color w:val="000000"/>
          <w:szCs w:val="21"/>
          <w:shd w:val="clear" w:color="auto" w:fill="FFFFFF"/>
        </w:rPr>
      </w:pPr>
      <w:r>
        <w:rPr>
          <w:rFonts w:hint="eastAsia"/>
          <w:color w:val="000000"/>
          <w:szCs w:val="21"/>
          <w:shd w:val="clear" w:color="auto" w:fill="FFFFFF"/>
        </w:rPr>
        <w:t>EC</w:t>
      </w:r>
      <w:r>
        <w:rPr>
          <w:rFonts w:hint="eastAsia"/>
          <w:color w:val="000000"/>
          <w:szCs w:val="21"/>
          <w:shd w:val="clear" w:color="auto" w:fill="FFFFFF"/>
          <w:vertAlign w:val="subscript"/>
        </w:rPr>
        <w:t>50</w:t>
      </w:r>
      <w:r>
        <w:rPr>
          <w:rFonts w:hint="eastAsia"/>
          <w:color w:val="000000"/>
          <w:szCs w:val="21"/>
          <w:shd w:val="clear" w:color="auto" w:fill="FFFFFF"/>
        </w:rPr>
        <w:t xml:space="preserve"> 32mg/L (48h)(水蚤)     IC</w:t>
      </w:r>
      <w:r>
        <w:rPr>
          <w:rFonts w:hint="eastAsia"/>
          <w:color w:val="000000"/>
          <w:szCs w:val="21"/>
          <w:shd w:val="clear" w:color="auto" w:fill="FFFFFF"/>
          <w:vertAlign w:val="subscript"/>
        </w:rPr>
        <w:t>50</w:t>
      </w:r>
      <w:r>
        <w:rPr>
          <w:rFonts w:hint="eastAsia"/>
          <w:color w:val="000000"/>
          <w:szCs w:val="21"/>
          <w:shd w:val="clear" w:color="auto" w:fill="FFFFFF"/>
        </w:rPr>
        <w:t xml:space="preserve"> 90mg/L (72h)(藻类)</w:t>
      </w:r>
    </w:p>
    <w:p>
      <w:pPr>
        <w:spacing w:line="360" w:lineRule="auto"/>
        <w:jc w:val="left"/>
        <w:rPr>
          <w:rFonts w:cs="Times New Roman"/>
          <w:szCs w:val="21"/>
        </w:rPr>
      </w:pPr>
      <w:r>
        <w:rPr>
          <w:rFonts w:ascii="宋体" w:hAnsi="宋体" w:eastAsia="宋体" w:cs="宋体"/>
          <w:b/>
          <w:snapToGrid w:val="0"/>
          <w:color w:val="000000"/>
          <w:kern w:val="0"/>
          <w:sz w:val="24"/>
          <w:szCs w:val="24"/>
        </w:rPr>
        <w:t>持久性和降解性：</w:t>
      </w:r>
      <w:r>
        <w:rPr>
          <w:rFonts w:hint="eastAsia" w:cs="Times New Roman"/>
          <w:szCs w:val="21"/>
        </w:rPr>
        <w:t>生物降解性MITI-Ⅰ测试,初始浓度100ppm,污泥浓度30ppm,2周后降解74%。非生物降解性空气中,当羟基自由基浓度为5.00×10</w:t>
      </w:r>
      <w:r>
        <w:rPr>
          <w:rFonts w:hint="eastAsia" w:cs="Times New Roman"/>
          <w:szCs w:val="21"/>
          <w:vertAlign w:val="superscript"/>
        </w:rPr>
        <w:t>5</w:t>
      </w:r>
      <w:r>
        <w:rPr>
          <w:rFonts w:hint="eastAsia" w:cs="Times New Roman"/>
          <w:szCs w:val="21"/>
        </w:rPr>
        <w:t>个/cm</w:t>
      </w:r>
      <w:r>
        <w:rPr>
          <w:rFonts w:hint="eastAsia" w:cs="Times New Roman"/>
          <w:szCs w:val="21"/>
          <w:vertAlign w:val="superscript"/>
        </w:rPr>
        <w:t>3</w:t>
      </w:r>
      <w:r>
        <w:rPr>
          <w:rFonts w:hint="eastAsia" w:cs="Times New Roman"/>
          <w:szCs w:val="21"/>
        </w:rPr>
        <w:t>时,降解半衰期为22d(理论)</w:t>
      </w:r>
    </w:p>
    <w:p>
      <w:pPr>
        <w:spacing w:line="360" w:lineRule="auto"/>
        <w:jc w:val="left"/>
        <w:rPr>
          <w:rStyle w:val="15"/>
          <w:rFonts w:hint="default"/>
        </w:rPr>
      </w:pPr>
      <w:r>
        <w:rPr>
          <w:rFonts w:ascii="宋体" w:hAnsi="宋体" w:eastAsia="宋体" w:cs="宋体"/>
          <w:b/>
          <w:snapToGrid w:val="0"/>
          <w:color w:val="000000"/>
          <w:kern w:val="0"/>
          <w:sz w:val="24"/>
          <w:szCs w:val="24"/>
        </w:rPr>
        <w:t>潜在的生物累积性：</w:t>
      </w:r>
      <w:r>
        <w:rPr>
          <w:rFonts w:hint="eastAsia" w:cs="Times New Roman"/>
          <w:szCs w:val="21"/>
        </w:rPr>
        <w:t>根据Kow值预测，该物质的生物累积性可能较弱</w:t>
      </w:r>
    </w:p>
    <w:p>
      <w:pPr>
        <w:pStyle w:val="5"/>
        <w:spacing w:before="0" w:beforeAutospacing="0" w:after="0" w:afterAutospacing="0" w:line="360" w:lineRule="auto"/>
        <w:ind w:left="1200" w:hanging="1200"/>
      </w:pPr>
      <w:r>
        <w:rPr>
          <w:b/>
          <w:snapToGrid w:val="0"/>
          <w:color w:val="000000"/>
        </w:rPr>
        <w:t>土壤中的迁移性：</w:t>
      </w:r>
      <w:r>
        <w:rPr>
          <w:rFonts w:hint="eastAsia" w:cs="Times New Roman"/>
          <w:kern w:val="2"/>
          <w:sz w:val="21"/>
          <w:szCs w:val="21"/>
        </w:rPr>
        <w:t>根据Koc值预测，该物质可能易发生迁移</w:t>
      </w:r>
    </w:p>
    <w:p>
      <w:pPr>
        <w:pStyle w:val="12"/>
        <w:spacing w:before="0" w:beforeLines="0"/>
        <w:ind w:left="1205" w:hanging="1205" w:hangingChars="500"/>
        <w:rPr>
          <w:rFonts w:cs="Times New Roman"/>
          <w:snapToGrid/>
          <w:color w:val="auto"/>
          <w:kern w:val="2"/>
          <w:sz w:val="21"/>
          <w:szCs w:val="21"/>
        </w:rPr>
      </w:pPr>
      <w:r>
        <w:rPr>
          <w:rFonts w:hint="eastAsia"/>
          <w:b/>
          <w:sz w:val="24"/>
          <w:szCs w:val="24"/>
        </w:rPr>
        <w:t>其它有害作用：</w:t>
      </w:r>
      <w:r>
        <w:rPr>
          <w:rFonts w:hint="eastAsia" w:cs="Times New Roman"/>
          <w:snapToGrid/>
          <w:color w:val="auto"/>
          <w:kern w:val="2"/>
          <w:sz w:val="21"/>
          <w:szCs w:val="21"/>
        </w:rPr>
        <w:t>该物质对环境有危害，应特别注意对水体的污染</w:t>
      </w:r>
    </w:p>
    <w:p>
      <w:pPr>
        <w:pStyle w:val="12"/>
        <w:spacing w:before="156"/>
        <w:ind w:left="1405" w:hanging="1405" w:hangingChars="500"/>
        <w:jc w:val="center"/>
        <w:rPr>
          <w:rFonts w:ascii="Calibri" w:hAnsi="Calibri" w:cs="Calibri" w:eastAsiaTheme="minorEastAsia"/>
          <w:b/>
          <w:snapToGrid/>
          <w:color w:val="auto"/>
          <w:kern w:val="2"/>
          <w:sz w:val="28"/>
          <w:szCs w:val="28"/>
        </w:rPr>
      </w:pPr>
      <w:r>
        <w:rPr>
          <w:rFonts w:hint="eastAsia" w:ascii="Calibri" w:hAnsi="Calibri" w:cs="Calibri" w:eastAsiaTheme="minorEastAsia"/>
          <w:b/>
          <w:snapToGrid/>
          <w:color w:val="auto"/>
          <w:kern w:val="2"/>
          <w:sz w:val="28"/>
          <w:szCs w:val="28"/>
        </w:rPr>
        <w:t>第十三部分  废弃处置</w:t>
      </w:r>
    </w:p>
    <w:p>
      <w:pPr>
        <w:pStyle w:val="5"/>
        <w:spacing w:before="80" w:beforeAutospacing="0" w:after="80" w:afterAutospacing="0" w:line="400" w:lineRule="atLeast"/>
        <w:ind w:left="1202" w:hanging="1202"/>
        <w:rPr>
          <w:b/>
          <w:snapToGrid w:val="0"/>
          <w:color w:val="000000"/>
          <w:kern w:val="2"/>
        </w:rPr>
      </w:pPr>
      <w:r>
        <w:rPr>
          <w:b/>
          <w:snapToGrid w:val="0"/>
          <w:color w:val="000000"/>
          <w:kern w:val="2"/>
        </w:rPr>
        <w:t>废弃处置方法：</w:t>
      </w:r>
      <w:r>
        <w:rPr>
          <w:rFonts w:hint="eastAsia"/>
          <w:b/>
          <w:snapToGrid w:val="0"/>
          <w:color w:val="000000"/>
          <w:kern w:val="2"/>
        </w:rPr>
        <w:t xml:space="preserve"> </w:t>
      </w:r>
    </w:p>
    <w:p>
      <w:pPr>
        <w:pStyle w:val="5"/>
        <w:spacing w:before="0" w:beforeAutospacing="0" w:after="0" w:afterAutospacing="0" w:line="360" w:lineRule="auto"/>
        <w:ind w:left="1644" w:hanging="1644"/>
        <w:rPr>
          <w:rFonts w:cs="Times New Roman"/>
          <w:kern w:val="2"/>
          <w:sz w:val="21"/>
          <w:szCs w:val="21"/>
        </w:rPr>
      </w:pPr>
      <w:r>
        <w:rPr>
          <w:rFonts w:hint="eastAsia"/>
          <w:b/>
          <w:snapToGrid w:val="0"/>
          <w:color w:val="000000"/>
          <w:kern w:val="2"/>
        </w:rPr>
        <w:t>-</w:t>
      </w:r>
      <w:r>
        <w:rPr>
          <w:b/>
          <w:snapToGrid w:val="0"/>
          <w:color w:val="000000"/>
          <w:kern w:val="2"/>
        </w:rPr>
        <w:t>产</w:t>
      </w:r>
      <w:r>
        <w:rPr>
          <w:rFonts w:hint="eastAsia"/>
          <w:b/>
          <w:snapToGrid w:val="0"/>
          <w:color w:val="000000"/>
          <w:kern w:val="2"/>
        </w:rPr>
        <w:t xml:space="preserve">       </w:t>
      </w:r>
      <w:r>
        <w:rPr>
          <w:b/>
          <w:snapToGrid w:val="0"/>
          <w:color w:val="000000"/>
          <w:kern w:val="2"/>
        </w:rPr>
        <w:t>品：</w:t>
      </w:r>
      <w:r>
        <w:rPr>
          <w:rFonts w:hint="eastAsia" w:cs="Times New Roman"/>
          <w:kern w:val="2"/>
          <w:sz w:val="21"/>
          <w:szCs w:val="21"/>
        </w:rPr>
        <w:t>建议用焚烧法处置</w:t>
      </w:r>
    </w:p>
    <w:p>
      <w:pPr>
        <w:pStyle w:val="5"/>
        <w:spacing w:before="0" w:beforeAutospacing="0" w:after="0" w:afterAutospacing="0" w:line="360" w:lineRule="auto"/>
        <w:ind w:left="1644" w:hanging="1644"/>
        <w:rPr>
          <w:rFonts w:cs="Times New Roman"/>
          <w:kern w:val="2"/>
          <w:sz w:val="21"/>
          <w:szCs w:val="21"/>
        </w:rPr>
      </w:pPr>
      <w:r>
        <w:rPr>
          <w:rFonts w:hint="eastAsia"/>
          <w:b/>
          <w:snapToGrid w:val="0"/>
          <w:color w:val="000000"/>
          <w:kern w:val="2"/>
        </w:rPr>
        <w:t>-</w:t>
      </w:r>
      <w:r>
        <w:rPr>
          <w:b/>
          <w:snapToGrid w:val="0"/>
          <w:color w:val="000000"/>
          <w:kern w:val="2"/>
        </w:rPr>
        <w:t>不洁的包装：</w:t>
      </w:r>
      <w:r>
        <w:rPr>
          <w:rFonts w:hint="eastAsia" w:cs="Times New Roman"/>
          <w:kern w:val="2"/>
          <w:sz w:val="21"/>
          <w:szCs w:val="21"/>
        </w:rPr>
        <w:t>将容器返还生产商，或依照国家和地方法规处置</w:t>
      </w:r>
    </w:p>
    <w:p>
      <w:pPr>
        <w:pStyle w:val="5"/>
        <w:spacing w:before="80" w:beforeAutospacing="0" w:after="80" w:afterAutospacing="0" w:line="400" w:lineRule="atLeast"/>
        <w:ind w:left="1202" w:hanging="1202"/>
        <w:rPr>
          <w:rFonts w:cs="Times New Roman"/>
          <w:kern w:val="2"/>
          <w:sz w:val="21"/>
          <w:szCs w:val="21"/>
        </w:rPr>
      </w:pPr>
      <w:r>
        <w:rPr>
          <w:b/>
          <w:snapToGrid w:val="0"/>
          <w:color w:val="000000"/>
          <w:kern w:val="2"/>
        </w:rPr>
        <w:t>废弃注意事项：</w:t>
      </w:r>
      <w:r>
        <w:rPr>
          <w:rFonts w:hint="eastAsia" w:cs="Times New Roman"/>
          <w:kern w:val="2"/>
          <w:sz w:val="21"/>
          <w:szCs w:val="21"/>
        </w:rPr>
        <w:t>处置前参阅国家和地方法规</w:t>
      </w:r>
    </w:p>
    <w:p>
      <w:pPr>
        <w:pStyle w:val="5"/>
        <w:spacing w:before="80" w:beforeAutospacing="0" w:after="80" w:afterAutospacing="0" w:line="400" w:lineRule="atLeast"/>
        <w:ind w:left="1202" w:hanging="1202"/>
        <w:jc w:val="center"/>
        <w:rPr>
          <w:rFonts w:ascii="Calibri" w:hAnsi="Calibri" w:cs="Calibri" w:eastAsiaTheme="minorEastAsia"/>
          <w:b/>
          <w:kern w:val="2"/>
          <w:sz w:val="28"/>
          <w:szCs w:val="28"/>
        </w:rPr>
      </w:pPr>
      <w:r>
        <w:rPr>
          <w:rFonts w:hint="eastAsia" w:ascii="Calibri" w:hAnsi="Calibri" w:cs="Calibri" w:eastAsiaTheme="minorEastAsia"/>
          <w:b/>
          <w:kern w:val="2"/>
          <w:sz w:val="28"/>
          <w:szCs w:val="28"/>
        </w:rPr>
        <w:t>第十四部分  运输信息</w:t>
      </w:r>
    </w:p>
    <w:p>
      <w:pPr>
        <w:pStyle w:val="12"/>
        <w:spacing w:before="0" w:beforeLines="0"/>
        <w:ind w:left="1205" w:hanging="1205" w:hangingChars="500"/>
        <w:rPr>
          <w:rFonts w:ascii="Calibri" w:hAnsi="Calibri" w:cs="Calibri" w:eastAsiaTheme="minorEastAsia"/>
          <w:b/>
          <w:snapToGrid/>
          <w:color w:val="auto"/>
          <w:kern w:val="2"/>
          <w:sz w:val="28"/>
          <w:szCs w:val="28"/>
        </w:rPr>
      </w:pPr>
      <w:r>
        <w:rPr>
          <w:rFonts w:hint="eastAsia"/>
          <w:b/>
          <w:kern w:val="2"/>
          <w:sz w:val="24"/>
          <w:szCs w:val="24"/>
        </w:rPr>
        <w:t>联合国危险货物编号（UN 号）：</w:t>
      </w:r>
      <w:r>
        <w:rPr>
          <w:rFonts w:hint="eastAsia" w:ascii="Calibri" w:hAnsi="Calibri" w:cs="Calibri" w:eastAsiaTheme="minorEastAsia"/>
          <w:b/>
          <w:snapToGrid/>
          <w:color w:val="auto"/>
          <w:kern w:val="2"/>
          <w:sz w:val="28"/>
          <w:szCs w:val="28"/>
        </w:rPr>
        <w:t xml:space="preserve"> </w:t>
      </w:r>
      <w:r>
        <w:rPr>
          <w:rFonts w:hint="eastAsia" w:cs="Times New Roman"/>
          <w:snapToGrid/>
          <w:color w:val="auto"/>
          <w:kern w:val="2"/>
          <w:sz w:val="21"/>
          <w:szCs w:val="21"/>
        </w:rPr>
        <w:t>2789</w:t>
      </w:r>
    </w:p>
    <w:p>
      <w:pPr>
        <w:pStyle w:val="12"/>
        <w:spacing w:before="0" w:beforeLines="0"/>
        <w:ind w:left="1205" w:hanging="1205" w:hangingChars="500"/>
        <w:rPr>
          <w:rFonts w:cs="Times New Roman"/>
          <w:snapToGrid/>
          <w:color w:val="auto"/>
          <w:kern w:val="2"/>
          <w:sz w:val="21"/>
          <w:szCs w:val="21"/>
        </w:rPr>
      </w:pPr>
      <w:r>
        <w:rPr>
          <w:rFonts w:hint="eastAsia"/>
          <w:b/>
          <w:kern w:val="2"/>
          <w:sz w:val="24"/>
          <w:szCs w:val="24"/>
        </w:rPr>
        <w:t>联合国运输名称：</w:t>
      </w:r>
      <w:r>
        <w:rPr>
          <w:rFonts w:hint="eastAsia" w:cs="Times New Roman"/>
          <w:snapToGrid/>
          <w:color w:val="auto"/>
          <w:kern w:val="2"/>
          <w:sz w:val="21"/>
          <w:szCs w:val="21"/>
        </w:rPr>
        <w:t>冰醋酸，或乙酸溶液，按质量含酸高于 80%</w:t>
      </w:r>
    </w:p>
    <w:p>
      <w:pPr>
        <w:pStyle w:val="12"/>
        <w:spacing w:before="0" w:beforeLines="0"/>
        <w:ind w:left="1205" w:hanging="1205" w:hangingChars="500"/>
        <w:rPr>
          <w:rFonts w:cs="Times New Roman"/>
          <w:snapToGrid/>
          <w:color w:val="auto"/>
          <w:kern w:val="2"/>
          <w:sz w:val="21"/>
          <w:szCs w:val="21"/>
        </w:rPr>
      </w:pPr>
      <w:r>
        <w:rPr>
          <w:rFonts w:hint="eastAsia"/>
          <w:b/>
          <w:kern w:val="2"/>
          <w:sz w:val="24"/>
          <w:szCs w:val="24"/>
        </w:rPr>
        <w:t>联合国危险性分类：</w:t>
      </w:r>
      <w:r>
        <w:rPr>
          <w:rFonts w:hint="eastAsia" w:cs="Times New Roman"/>
          <w:snapToGrid/>
          <w:color w:val="auto"/>
          <w:kern w:val="2"/>
          <w:sz w:val="21"/>
          <w:szCs w:val="21"/>
        </w:rPr>
        <w:t>主要危险性，类别8；次要危险性，类别3</w:t>
      </w:r>
    </w:p>
    <w:p>
      <w:pPr>
        <w:pStyle w:val="12"/>
        <w:spacing w:before="0" w:beforeLines="0"/>
        <w:ind w:left="500" w:hanging="500" w:firstLineChars="0"/>
        <w:rPr>
          <w:rFonts w:cs="Times New Roman"/>
          <w:snapToGrid/>
          <w:color w:val="auto"/>
          <w:kern w:val="2"/>
          <w:sz w:val="21"/>
          <w:szCs w:val="21"/>
        </w:rPr>
      </w:pPr>
      <w:r>
        <w:rPr>
          <w:rFonts w:cs="Times New Roman"/>
          <w:snapToGrid/>
          <w:color w:val="auto"/>
          <w:kern w:val="2"/>
          <w:sz w:val="21"/>
          <w:szCs w:val="21"/>
        </w:rPr>
        <w:drawing>
          <wp:anchor distT="0" distB="0" distL="114300" distR="114300" simplePos="0" relativeHeight="251660288" behindDoc="0" locked="0" layoutInCell="1" allowOverlap="1">
            <wp:simplePos x="0" y="0"/>
            <wp:positionH relativeFrom="column">
              <wp:posOffset>2219325</wp:posOffset>
            </wp:positionH>
            <wp:positionV relativeFrom="paragraph">
              <wp:posOffset>-163830</wp:posOffset>
            </wp:positionV>
            <wp:extent cx="771525" cy="750570"/>
            <wp:effectExtent l="0" t="0" r="0" b="0"/>
            <wp:wrapSquare wrapText="bothSides"/>
            <wp:docPr id="3" name="图片 3" descr="C:\Users\ADMINI~1\AppData\Local\Temp\158822773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1\AppData\Local\Temp\1588227736(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771525" cy="750570"/>
                    </a:xfrm>
                    <a:prstGeom prst="rect">
                      <a:avLst/>
                    </a:prstGeom>
                    <a:noFill/>
                    <a:ln>
                      <a:noFill/>
                    </a:ln>
                  </pic:spPr>
                </pic:pic>
              </a:graphicData>
            </a:graphic>
          </wp:anchor>
        </w:drawing>
      </w:r>
      <w:r>
        <w:rPr>
          <w:rFonts w:cs="Times New Roman"/>
          <w:snapToGrid/>
          <w:color w:val="auto"/>
          <w:kern w:val="2"/>
          <w:sz w:val="21"/>
          <w:szCs w:val="21"/>
        </w:rPr>
        <w:drawing>
          <wp:anchor distT="0" distB="0" distL="114300" distR="114300" simplePos="0" relativeHeight="251661312" behindDoc="0" locked="0" layoutInCell="1" allowOverlap="1">
            <wp:simplePos x="0" y="0"/>
            <wp:positionH relativeFrom="column">
              <wp:posOffset>3171825</wp:posOffset>
            </wp:positionH>
            <wp:positionV relativeFrom="paragraph">
              <wp:posOffset>-145415</wp:posOffset>
            </wp:positionV>
            <wp:extent cx="752475" cy="735330"/>
            <wp:effectExtent l="0" t="0" r="0" b="0"/>
            <wp:wrapSquare wrapText="bothSides"/>
            <wp:docPr id="4" name="图片 4" descr="C:\Users\ADMINI~1\AppData\Local\Temp\15882278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1\AppData\Local\Temp\1588227831(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752475" cy="735330"/>
                    </a:xfrm>
                    <a:prstGeom prst="rect">
                      <a:avLst/>
                    </a:prstGeom>
                    <a:noFill/>
                    <a:ln>
                      <a:noFill/>
                    </a:ln>
                  </pic:spPr>
                </pic:pic>
              </a:graphicData>
            </a:graphic>
          </wp:anchor>
        </w:drawing>
      </w:r>
      <w:r>
        <w:rPr>
          <w:rFonts w:hint="eastAsia"/>
          <w:b/>
          <w:kern w:val="2"/>
          <w:sz w:val="24"/>
          <w:szCs w:val="24"/>
        </w:rPr>
        <w:t>包装类别：</w:t>
      </w:r>
      <w:r>
        <w:rPr>
          <w:rFonts w:hint="eastAsia" w:cs="Times New Roman"/>
          <w:snapToGrid/>
          <w:color w:val="auto"/>
          <w:kern w:val="2"/>
          <w:sz w:val="21"/>
          <w:szCs w:val="21"/>
        </w:rPr>
        <w:t>Ⅱ</w:t>
      </w:r>
    </w:p>
    <w:p>
      <w:pPr>
        <w:pStyle w:val="12"/>
        <w:spacing w:before="0" w:beforeLines="0"/>
        <w:ind w:left="500" w:hanging="500" w:firstLineChars="0"/>
        <w:rPr>
          <w:rFonts w:cs="Times New Roman"/>
          <w:snapToGrid/>
          <w:color w:val="auto"/>
          <w:kern w:val="2"/>
          <w:sz w:val="21"/>
          <w:szCs w:val="21"/>
        </w:rPr>
      </w:pPr>
      <w:r>
        <w:rPr>
          <w:rFonts w:hint="eastAsia"/>
          <w:b/>
          <w:kern w:val="2"/>
          <w:sz w:val="24"/>
          <w:szCs w:val="24"/>
        </w:rPr>
        <w:t>包装标志：</w:t>
      </w:r>
      <w:r>
        <w:rPr>
          <w:rFonts w:hint="eastAsia" w:cs="Times New Roman"/>
          <w:snapToGrid/>
          <w:color w:val="auto"/>
          <w:kern w:val="2"/>
          <w:sz w:val="21"/>
          <w:szCs w:val="21"/>
        </w:rPr>
        <w:t xml:space="preserve">腐蚀性物质；易燃液体   </w:t>
      </w:r>
    </w:p>
    <w:p>
      <w:pPr>
        <w:pStyle w:val="12"/>
        <w:spacing w:before="0" w:beforeLines="0"/>
        <w:ind w:left="1205" w:hanging="1205" w:hangingChars="500"/>
        <w:rPr>
          <w:rFonts w:cs="Times New Roman"/>
          <w:snapToGrid/>
          <w:color w:val="auto"/>
          <w:kern w:val="2"/>
          <w:sz w:val="21"/>
          <w:szCs w:val="21"/>
        </w:rPr>
      </w:pPr>
      <w:r>
        <w:rPr>
          <w:rFonts w:hint="eastAsia"/>
          <w:b/>
          <w:kern w:val="2"/>
          <w:sz w:val="24"/>
          <w:szCs w:val="24"/>
        </w:rPr>
        <w:t>包装方法：</w:t>
      </w:r>
      <w:r>
        <w:rPr>
          <w:rFonts w:hint="eastAsia" w:cs="Times New Roman"/>
          <w:snapToGrid/>
          <w:color w:val="auto"/>
          <w:kern w:val="2"/>
          <w:sz w:val="21"/>
          <w:szCs w:val="21"/>
        </w:rPr>
        <w:t>小开口铝桶；玻璃瓶或塑料桶（罐）外普通木箱或半花格木箱；磨砂口玻璃瓶或螺纹口玻璃瓶外普通木箱；螺纹口玻璃瓶、铁盖压口玻璃瓶、塑料瓶或金属桶（罐）外普通木箱；螺纹口玻璃瓶、塑料瓶或镀锡薄钢板桶（罐）外满底板花格箱、纤维板箱或胶合板箱</w:t>
      </w:r>
    </w:p>
    <w:p>
      <w:pPr>
        <w:pStyle w:val="12"/>
        <w:spacing w:before="0" w:beforeLines="0"/>
        <w:ind w:left="1205" w:hanging="1205" w:hangingChars="500"/>
        <w:rPr>
          <w:rFonts w:cs="Times New Roman"/>
          <w:snapToGrid/>
          <w:color w:val="auto"/>
          <w:kern w:val="2"/>
          <w:sz w:val="21"/>
          <w:szCs w:val="21"/>
        </w:rPr>
      </w:pPr>
      <w:r>
        <w:rPr>
          <w:rFonts w:hint="eastAsia"/>
          <w:b/>
          <w:kern w:val="2"/>
          <w:sz w:val="24"/>
          <w:szCs w:val="24"/>
        </w:rPr>
        <w:t>海洋污染物（是／否）：</w:t>
      </w:r>
      <w:r>
        <w:rPr>
          <w:rFonts w:hint="eastAsia" w:ascii="Calibri" w:hAnsi="Calibri" w:cs="Calibri" w:eastAsiaTheme="minorEastAsia"/>
          <w:b/>
          <w:snapToGrid/>
          <w:color w:val="auto"/>
          <w:kern w:val="2"/>
          <w:sz w:val="28"/>
          <w:szCs w:val="28"/>
        </w:rPr>
        <w:t xml:space="preserve"> </w:t>
      </w:r>
      <w:r>
        <w:rPr>
          <w:rFonts w:hint="eastAsia" w:cs="Times New Roman"/>
          <w:snapToGrid/>
          <w:color w:val="auto"/>
          <w:kern w:val="2"/>
          <w:sz w:val="21"/>
          <w:szCs w:val="21"/>
        </w:rPr>
        <w:t>否</w:t>
      </w:r>
    </w:p>
    <w:p>
      <w:pPr>
        <w:pStyle w:val="12"/>
        <w:spacing w:before="0" w:beforeLines="0"/>
        <w:ind w:left="1205" w:hanging="1205" w:hangingChars="500"/>
        <w:rPr>
          <w:rFonts w:cs="Times New Roman"/>
          <w:snapToGrid/>
          <w:color w:val="auto"/>
          <w:kern w:val="2"/>
          <w:sz w:val="21"/>
          <w:szCs w:val="21"/>
        </w:rPr>
      </w:pPr>
      <w:r>
        <w:rPr>
          <w:rFonts w:hint="eastAsia"/>
          <w:b/>
          <w:kern w:val="2"/>
          <w:sz w:val="24"/>
          <w:szCs w:val="24"/>
        </w:rPr>
        <w:t>运输注意事项：</w:t>
      </w:r>
      <w:r>
        <w:rPr>
          <w:rFonts w:hint="eastAsia" w:cs="Times New Roman"/>
          <w:snapToGrid/>
          <w:color w:val="auto"/>
          <w:kern w:val="2"/>
          <w:sz w:val="21"/>
          <w:szCs w:val="21"/>
        </w:rPr>
        <w:t>本品铁路运输时限使用铝制企业自备罐车装运，装运前需报有关部门批准。起运时包装要完整，装载应稳妥。运输过程中要确保容器不泄漏、不倒塌、不坠落、不损坏。运输时所用的槽（罐）车应有接地链，槽内可设孔隔板以减少震荡产生静电。严禁与氧化剂、碱类、食用化学品等混装混运。运输时运输车辆应配备相应品种和数量的消防器材及泄漏应急处理设备。公路运输时要按规定路线行驶，勿在居民区和人口稠密区停留</w:t>
      </w:r>
    </w:p>
    <w:p>
      <w:pPr>
        <w:pStyle w:val="12"/>
        <w:spacing w:before="156"/>
        <w:ind w:left="1405" w:hanging="1405" w:hangingChars="500"/>
        <w:jc w:val="center"/>
        <w:rPr>
          <w:rFonts w:cs="Times New Roman"/>
          <w:snapToGrid/>
          <w:color w:val="auto"/>
          <w:kern w:val="2"/>
          <w:sz w:val="21"/>
          <w:szCs w:val="21"/>
        </w:rPr>
      </w:pPr>
      <w:r>
        <w:rPr>
          <w:rFonts w:hint="eastAsia" w:ascii="Calibri" w:hAnsi="Calibri" w:cs="Calibri" w:eastAsiaTheme="minorEastAsia"/>
          <w:b/>
          <w:snapToGrid/>
          <w:color w:val="auto"/>
          <w:kern w:val="2"/>
          <w:sz w:val="28"/>
          <w:szCs w:val="28"/>
        </w:rPr>
        <w:t>第十五部分  法规信息</w:t>
      </w:r>
    </w:p>
    <w:p>
      <w:pPr>
        <w:pStyle w:val="12"/>
        <w:spacing w:before="0" w:beforeLines="0"/>
        <w:ind w:left="1050" w:hanging="1050" w:hangingChars="500"/>
        <w:rPr>
          <w:rFonts w:cs="Times New Roman"/>
          <w:snapToGrid/>
          <w:color w:val="000000" w:themeColor="text1"/>
          <w:kern w:val="2"/>
          <w:sz w:val="21"/>
          <w:szCs w:val="21"/>
        </w:rPr>
      </w:pPr>
      <w:r>
        <w:rPr>
          <w:rFonts w:hint="eastAsia" w:cs="Times New Roman"/>
          <w:snapToGrid/>
          <w:color w:val="auto"/>
          <w:kern w:val="2"/>
          <w:sz w:val="21"/>
          <w:szCs w:val="21"/>
        </w:rPr>
        <w:t>下列法律、法规、规章和标准，对该化学品的管理</w:t>
      </w:r>
      <w:r>
        <w:rPr>
          <w:rFonts w:hint="eastAsia" w:cs="Times New Roman"/>
          <w:snapToGrid/>
          <w:color w:val="000000" w:themeColor="text1"/>
          <w:kern w:val="2"/>
          <w:sz w:val="21"/>
          <w:szCs w:val="21"/>
        </w:rPr>
        <w:t>作了相应的规定：</w:t>
      </w:r>
    </w:p>
    <w:p>
      <w:pPr>
        <w:pStyle w:val="12"/>
        <w:spacing w:before="0" w:beforeLines="0"/>
        <w:ind w:left="1050" w:hanging="1050" w:hangingChars="500"/>
        <w:rPr>
          <w:rFonts w:cs="Times New Roman"/>
          <w:snapToGrid/>
          <w:color w:val="000000" w:themeColor="text1"/>
          <w:kern w:val="2"/>
          <w:sz w:val="21"/>
          <w:szCs w:val="21"/>
        </w:rPr>
      </w:pPr>
      <w:r>
        <w:rPr>
          <w:rFonts w:hint="eastAsia" w:cs="Times New Roman"/>
          <w:snapToGrid/>
          <w:color w:val="000000" w:themeColor="text1"/>
          <w:kern w:val="2"/>
          <w:sz w:val="21"/>
          <w:szCs w:val="21"/>
        </w:rPr>
        <w:t xml:space="preserve">           化学品分类和标签规范（GB 30000.2-2013～ 30000.29-2013）</w:t>
      </w:r>
    </w:p>
    <w:p>
      <w:pPr>
        <w:pStyle w:val="12"/>
        <w:spacing w:before="0" w:beforeLines="0"/>
        <w:ind w:left="1205" w:hanging="1205" w:hangingChars="500"/>
        <w:rPr>
          <w:rFonts w:cs="Times New Roman"/>
          <w:snapToGrid/>
          <w:color w:val="000000" w:themeColor="text1"/>
          <w:kern w:val="2"/>
          <w:sz w:val="21"/>
          <w:szCs w:val="21"/>
        </w:rPr>
      </w:pPr>
      <w:r>
        <w:rPr>
          <w:rFonts w:hint="eastAsia" w:cs="Times New Roman"/>
          <w:b/>
          <w:snapToGrid/>
          <w:color w:val="000000" w:themeColor="text1"/>
          <w:kern w:val="2"/>
          <w:sz w:val="24"/>
          <w:szCs w:val="24"/>
        </w:rPr>
        <w:t>中华人民共和国职业病防治法</w:t>
      </w:r>
      <w:r>
        <w:rPr>
          <w:rFonts w:hint="eastAsia" w:cs="Times New Roman"/>
          <w:b/>
          <w:snapToGrid/>
          <w:color w:val="000000" w:themeColor="text1"/>
          <w:kern w:val="2"/>
          <w:sz w:val="21"/>
          <w:szCs w:val="21"/>
        </w:rPr>
        <w:t xml:space="preserve"> </w:t>
      </w:r>
      <w:r>
        <w:rPr>
          <w:rFonts w:hint="eastAsia" w:cs="Times New Roman"/>
          <w:snapToGrid/>
          <w:color w:val="000000" w:themeColor="text1"/>
          <w:kern w:val="2"/>
          <w:sz w:val="21"/>
          <w:szCs w:val="21"/>
        </w:rPr>
        <w:t xml:space="preserve"> 职业病分类和目录：未列入</w:t>
      </w:r>
    </w:p>
    <w:p>
      <w:pPr>
        <w:pStyle w:val="12"/>
        <w:spacing w:before="0" w:beforeLines="0"/>
        <w:ind w:left="1205" w:hanging="1205" w:hangingChars="500"/>
        <w:rPr>
          <w:rFonts w:cs="Times New Roman"/>
          <w:snapToGrid/>
          <w:color w:val="auto"/>
          <w:kern w:val="2"/>
          <w:sz w:val="21"/>
          <w:szCs w:val="21"/>
        </w:rPr>
      </w:pPr>
      <w:r>
        <w:rPr>
          <w:rFonts w:hint="eastAsia" w:cs="Times New Roman"/>
          <w:b/>
          <w:snapToGrid/>
          <w:color w:val="000000" w:themeColor="text1"/>
          <w:kern w:val="2"/>
          <w:sz w:val="24"/>
          <w:szCs w:val="24"/>
        </w:rPr>
        <w:t>危险化学品安全管理条例</w:t>
      </w:r>
      <w:r>
        <w:rPr>
          <w:rFonts w:hint="eastAsia" w:cs="Times New Roman"/>
          <w:snapToGrid/>
          <w:color w:val="000000" w:themeColor="text1"/>
          <w:kern w:val="2"/>
          <w:sz w:val="24"/>
          <w:szCs w:val="24"/>
        </w:rPr>
        <w:t xml:space="preserve"> </w:t>
      </w:r>
      <w:r>
        <w:rPr>
          <w:rFonts w:hint="eastAsia" w:cs="Times New Roman"/>
          <w:snapToGrid/>
          <w:color w:val="000000" w:themeColor="text1"/>
          <w:kern w:val="2"/>
          <w:sz w:val="21"/>
          <w:szCs w:val="21"/>
        </w:rPr>
        <w:t>危险化学品目录：列入。易制爆危险化学品名录：未列入。重点监管的危险化学品名录：未</w:t>
      </w:r>
      <w:r>
        <w:rPr>
          <w:rFonts w:hint="eastAsia" w:cs="Times New Roman"/>
          <w:snapToGrid/>
          <w:color w:val="auto"/>
          <w:kern w:val="2"/>
          <w:sz w:val="21"/>
          <w:szCs w:val="21"/>
        </w:rPr>
        <w:t>列入。GB18218-2018《危险化学品重大危险源辨识》（表1）：未列入</w:t>
      </w:r>
    </w:p>
    <w:p>
      <w:pPr>
        <w:pStyle w:val="12"/>
        <w:spacing w:before="0" w:beforeLines="0"/>
        <w:ind w:left="1205" w:hanging="1205" w:hangingChars="500"/>
        <w:rPr>
          <w:rFonts w:cs="Times New Roman"/>
          <w:snapToGrid/>
          <w:color w:val="FF0000"/>
          <w:kern w:val="2"/>
          <w:sz w:val="21"/>
          <w:szCs w:val="21"/>
        </w:rPr>
      </w:pPr>
      <w:r>
        <w:rPr>
          <w:rFonts w:hint="eastAsia" w:cs="Times New Roman"/>
          <w:b/>
          <w:snapToGrid/>
          <w:color w:val="000000" w:themeColor="text1"/>
          <w:kern w:val="2"/>
          <w:sz w:val="24"/>
          <w:szCs w:val="24"/>
        </w:rPr>
        <w:t xml:space="preserve">使用有毒物品作业场所劳动保护条例 </w:t>
      </w:r>
      <w:r>
        <w:rPr>
          <w:rFonts w:hint="eastAsia" w:cs="Times New Roman"/>
          <w:snapToGrid/>
          <w:color w:val="000000" w:themeColor="text1"/>
          <w:kern w:val="2"/>
          <w:sz w:val="21"/>
          <w:szCs w:val="21"/>
        </w:rPr>
        <w:t>高毒物品目录：未列入</w:t>
      </w:r>
    </w:p>
    <w:p>
      <w:pPr>
        <w:pStyle w:val="12"/>
        <w:spacing w:before="0" w:beforeLines="0"/>
        <w:ind w:left="1205" w:hanging="1205" w:hangingChars="500"/>
        <w:rPr>
          <w:rFonts w:cs="Times New Roman"/>
          <w:snapToGrid/>
          <w:color w:val="FF0000"/>
          <w:kern w:val="2"/>
          <w:sz w:val="21"/>
          <w:szCs w:val="21"/>
        </w:rPr>
      </w:pPr>
      <w:r>
        <w:rPr>
          <w:rFonts w:hint="eastAsia" w:cs="Times New Roman"/>
          <w:b/>
          <w:snapToGrid/>
          <w:color w:val="000000" w:themeColor="text1"/>
          <w:kern w:val="2"/>
          <w:sz w:val="24"/>
          <w:szCs w:val="24"/>
        </w:rPr>
        <w:t xml:space="preserve">易制毒化学品管理条例 </w:t>
      </w:r>
      <w:r>
        <w:rPr>
          <w:rFonts w:hint="eastAsia" w:cs="Times New Roman"/>
          <w:snapToGrid/>
          <w:color w:val="000000" w:themeColor="text1"/>
          <w:kern w:val="2"/>
          <w:sz w:val="21"/>
          <w:szCs w:val="21"/>
        </w:rPr>
        <w:t>易制毒化学品的分类和品种目录：未列入</w:t>
      </w:r>
    </w:p>
    <w:p>
      <w:pPr>
        <w:pStyle w:val="12"/>
        <w:spacing w:before="0" w:beforeLines="0"/>
        <w:ind w:left="1205" w:hanging="1205" w:hangingChars="500"/>
        <w:rPr>
          <w:rFonts w:cs="Times New Roman"/>
          <w:snapToGrid/>
          <w:color w:val="000000" w:themeColor="text1"/>
          <w:kern w:val="2"/>
          <w:sz w:val="21"/>
          <w:szCs w:val="21"/>
        </w:rPr>
      </w:pPr>
      <w:r>
        <w:rPr>
          <w:rFonts w:hint="eastAsia" w:cs="Times New Roman"/>
          <w:b/>
          <w:snapToGrid/>
          <w:color w:val="000000" w:themeColor="text1"/>
          <w:kern w:val="2"/>
          <w:sz w:val="24"/>
          <w:szCs w:val="24"/>
        </w:rPr>
        <w:t>国际公约</w:t>
      </w:r>
      <w:r>
        <w:rPr>
          <w:rFonts w:hint="eastAsia" w:cs="Times New Roman"/>
          <w:snapToGrid/>
          <w:color w:val="000000" w:themeColor="text1"/>
          <w:kern w:val="2"/>
          <w:sz w:val="24"/>
          <w:szCs w:val="24"/>
        </w:rPr>
        <w:t xml:space="preserve"> </w:t>
      </w:r>
      <w:r>
        <w:rPr>
          <w:rFonts w:hint="eastAsia" w:cs="Times New Roman"/>
          <w:snapToGrid/>
          <w:color w:val="000000" w:themeColor="text1"/>
          <w:kern w:val="2"/>
          <w:sz w:val="21"/>
          <w:szCs w:val="21"/>
        </w:rPr>
        <w:t>斯德哥尔摩公约：未列入。鹿特丹公约：未列入。蒙特利尔议定书：未列入</w:t>
      </w:r>
    </w:p>
    <w:p>
      <w:pPr>
        <w:pStyle w:val="12"/>
        <w:spacing w:beforeLines="0"/>
        <w:ind w:left="0" w:firstLine="1405" w:firstLineChars="500"/>
        <w:jc w:val="center"/>
        <w:rPr>
          <w:rFonts w:ascii="Calibri" w:hAnsi="Calibri" w:cs="Calibri" w:eastAsiaTheme="minorEastAsia"/>
          <w:b/>
          <w:snapToGrid/>
          <w:color w:val="auto"/>
          <w:kern w:val="2"/>
          <w:sz w:val="28"/>
          <w:szCs w:val="28"/>
        </w:rPr>
      </w:pPr>
      <w:r>
        <w:rPr>
          <w:rFonts w:hint="eastAsia" w:ascii="Calibri" w:hAnsi="Calibri" w:cs="Calibri" w:eastAsiaTheme="minorEastAsia"/>
          <w:b/>
          <w:snapToGrid/>
          <w:color w:val="auto"/>
          <w:kern w:val="2"/>
          <w:sz w:val="28"/>
          <w:szCs w:val="28"/>
        </w:rPr>
        <w:t>第十六部分  其他信息</w:t>
      </w:r>
    </w:p>
    <w:p>
      <w:pPr>
        <w:pStyle w:val="12"/>
        <w:spacing w:before="0" w:beforeLines="0"/>
        <w:ind w:left="1205" w:hanging="1205" w:hangingChars="500"/>
        <w:rPr>
          <w:rFonts w:ascii="Calibri" w:hAnsi="Calibri" w:cs="Calibri" w:eastAsiaTheme="minorEastAsia"/>
          <w:b/>
          <w:snapToGrid/>
          <w:color w:val="auto"/>
          <w:kern w:val="2"/>
          <w:sz w:val="28"/>
          <w:szCs w:val="28"/>
        </w:rPr>
      </w:pPr>
      <w:r>
        <w:rPr>
          <w:rFonts w:hint="eastAsia"/>
          <w:b/>
          <w:kern w:val="2"/>
          <w:sz w:val="24"/>
          <w:szCs w:val="24"/>
        </w:rPr>
        <w:t>最新修订版日期：</w:t>
      </w:r>
      <w:r>
        <w:rPr>
          <w:rFonts w:hint="eastAsia" w:cs="Times New Roman"/>
          <w:snapToGrid/>
          <w:color w:val="auto"/>
          <w:kern w:val="2"/>
          <w:sz w:val="21"/>
          <w:szCs w:val="21"/>
        </w:rPr>
        <w:t xml:space="preserve"> 202</w:t>
      </w:r>
      <w:r>
        <w:rPr>
          <w:rFonts w:hint="eastAsia" w:cs="Times New Roman"/>
          <w:snapToGrid/>
          <w:color w:val="auto"/>
          <w:kern w:val="2"/>
          <w:sz w:val="21"/>
          <w:szCs w:val="21"/>
          <w:lang w:val="en-US" w:eastAsia="zh-CN"/>
        </w:rPr>
        <w:t>3</w:t>
      </w:r>
      <w:r>
        <w:rPr>
          <w:rFonts w:hint="eastAsia" w:cs="Times New Roman"/>
          <w:snapToGrid/>
          <w:color w:val="auto"/>
          <w:kern w:val="2"/>
          <w:sz w:val="21"/>
          <w:szCs w:val="21"/>
        </w:rPr>
        <w:t>年</w:t>
      </w:r>
      <w:r>
        <w:rPr>
          <w:rFonts w:hint="eastAsia" w:cs="Times New Roman"/>
          <w:snapToGrid/>
          <w:color w:val="auto"/>
          <w:kern w:val="2"/>
          <w:sz w:val="21"/>
          <w:szCs w:val="21"/>
          <w:lang w:val="en-US" w:eastAsia="zh-CN"/>
        </w:rPr>
        <w:t>2</w:t>
      </w:r>
      <w:r>
        <w:rPr>
          <w:rFonts w:hint="eastAsia" w:cs="Times New Roman"/>
          <w:snapToGrid/>
          <w:color w:val="auto"/>
          <w:kern w:val="2"/>
          <w:sz w:val="21"/>
          <w:szCs w:val="21"/>
        </w:rPr>
        <w:t xml:space="preserve">月 </w:t>
      </w:r>
      <w:r>
        <w:rPr>
          <w:rFonts w:hint="eastAsia" w:cs="Times New Roman"/>
          <w:snapToGrid/>
          <w:color w:val="auto"/>
          <w:kern w:val="2"/>
          <w:sz w:val="21"/>
          <w:szCs w:val="21"/>
          <w:lang w:val="en-US" w:eastAsia="zh-CN"/>
        </w:rPr>
        <w:t>1</w:t>
      </w:r>
      <w:r>
        <w:rPr>
          <w:rFonts w:hint="eastAsia" w:cs="Times New Roman"/>
          <w:snapToGrid/>
          <w:color w:val="auto"/>
          <w:kern w:val="2"/>
          <w:sz w:val="21"/>
          <w:szCs w:val="21"/>
        </w:rPr>
        <w:t>日</w:t>
      </w:r>
    </w:p>
    <w:p>
      <w:pPr>
        <w:pStyle w:val="12"/>
        <w:spacing w:before="0" w:beforeLines="0"/>
        <w:ind w:left="1205" w:hanging="1205" w:hangingChars="500"/>
        <w:rPr>
          <w:rFonts w:ascii="Calibri" w:hAnsi="Calibri" w:cs="Calibri" w:eastAsiaTheme="minorEastAsia"/>
          <w:b/>
          <w:snapToGrid/>
          <w:color w:val="auto"/>
          <w:kern w:val="2"/>
          <w:sz w:val="28"/>
          <w:szCs w:val="28"/>
        </w:rPr>
      </w:pPr>
      <w:r>
        <w:rPr>
          <w:rFonts w:hint="eastAsia"/>
          <w:b/>
          <w:kern w:val="2"/>
          <w:sz w:val="24"/>
          <w:szCs w:val="24"/>
        </w:rPr>
        <w:t>编写及数据审核部门：</w:t>
      </w:r>
      <w:r>
        <w:rPr>
          <w:rFonts w:hint="eastAsia" w:cs="Times New Roman"/>
          <w:snapToGrid/>
          <w:color w:val="auto"/>
          <w:kern w:val="2"/>
          <w:sz w:val="21"/>
          <w:szCs w:val="21"/>
        </w:rPr>
        <w:t xml:space="preserve"> 安环</w:t>
      </w:r>
      <w:r>
        <w:rPr>
          <w:rFonts w:hint="eastAsia" w:cs="Times New Roman"/>
          <w:snapToGrid/>
          <w:color w:val="auto"/>
          <w:kern w:val="2"/>
          <w:sz w:val="21"/>
          <w:szCs w:val="21"/>
          <w:lang w:val="en-US" w:eastAsia="zh-CN"/>
        </w:rPr>
        <w:t>保卫</w:t>
      </w:r>
      <w:r>
        <w:rPr>
          <w:rFonts w:hint="eastAsia" w:cs="Times New Roman"/>
          <w:snapToGrid/>
          <w:color w:val="auto"/>
          <w:kern w:val="2"/>
          <w:sz w:val="21"/>
          <w:szCs w:val="21"/>
        </w:rPr>
        <w:t>部</w:t>
      </w:r>
    </w:p>
    <w:p>
      <w:pPr>
        <w:pStyle w:val="12"/>
        <w:spacing w:before="0" w:beforeLines="0"/>
        <w:ind w:left="1205" w:hanging="1205" w:hangingChars="500"/>
        <w:rPr>
          <w:rFonts w:cs="Times New Roman"/>
          <w:snapToGrid/>
          <w:color w:val="auto"/>
          <w:kern w:val="2"/>
          <w:sz w:val="21"/>
          <w:szCs w:val="21"/>
        </w:rPr>
      </w:pPr>
      <w:r>
        <w:rPr>
          <w:rFonts w:hint="eastAsia"/>
          <w:b/>
          <w:kern w:val="2"/>
          <w:sz w:val="24"/>
          <w:szCs w:val="24"/>
        </w:rPr>
        <w:t>修改说明：</w:t>
      </w:r>
      <w:r>
        <w:rPr>
          <w:rFonts w:hint="eastAsia" w:cs="Times New Roman"/>
          <w:snapToGrid/>
          <w:color w:val="auto"/>
          <w:kern w:val="2"/>
          <w:sz w:val="21"/>
          <w:szCs w:val="21"/>
        </w:rPr>
        <w:t>本 SDS 按照《化学品安全技术说明书 内容和项目顺序》（GB/T16483-2008）、《化学品安全技术说明书编写指南》（GB/T17519-2013）等标准修订。其中，化学品GHS分类结果依据《危险化学品目录（2015版）实施指南（试行）》及《化学品分类和标签规范》（GB30000.2-GB30000.29-2013）系列标准</w:t>
      </w:r>
    </w:p>
    <w:p>
      <w:pPr>
        <w:pStyle w:val="12"/>
        <w:spacing w:before="0" w:beforeLines="0"/>
        <w:ind w:left="1205" w:hanging="1205" w:hangingChars="500"/>
        <w:rPr>
          <w:rFonts w:cs="Times New Roman"/>
          <w:snapToGrid/>
          <w:color w:val="auto"/>
          <w:kern w:val="2"/>
          <w:sz w:val="21"/>
          <w:szCs w:val="21"/>
        </w:rPr>
      </w:pPr>
      <w:r>
        <w:rPr>
          <w:rFonts w:hint="eastAsia"/>
          <w:b/>
          <w:kern w:val="2"/>
          <w:sz w:val="24"/>
          <w:szCs w:val="24"/>
        </w:rPr>
        <w:t>缩略语说明：</w:t>
      </w:r>
      <w:r>
        <w:rPr>
          <w:rFonts w:hint="eastAsia" w:cs="Times New Roman"/>
          <w:snapToGrid/>
          <w:color w:val="auto"/>
          <w:kern w:val="2"/>
          <w:sz w:val="21"/>
          <w:szCs w:val="21"/>
        </w:rPr>
        <w:t>MAC：指工作地点、在一个工作日内、任何时间有毒化学物质均不应超过</w:t>
      </w:r>
    </w:p>
    <w:p>
      <w:pPr>
        <w:pStyle w:val="12"/>
        <w:spacing w:before="0" w:beforeLines="0"/>
        <w:ind w:left="0" w:firstLine="0" w:firstLineChars="0"/>
        <w:rPr>
          <w:rFonts w:cs="Times New Roman"/>
          <w:snapToGrid/>
          <w:color w:val="auto"/>
          <w:kern w:val="2"/>
          <w:sz w:val="21"/>
          <w:szCs w:val="21"/>
        </w:rPr>
      </w:pPr>
      <w:r>
        <w:rPr>
          <w:rFonts w:hint="eastAsia" w:cs="Times New Roman"/>
          <w:snapToGrid/>
          <w:color w:val="auto"/>
          <w:kern w:val="2"/>
          <w:sz w:val="21"/>
          <w:szCs w:val="21"/>
        </w:rPr>
        <w:t xml:space="preserve">           的浓度</w:t>
      </w:r>
    </w:p>
    <w:p>
      <w:pPr>
        <w:pStyle w:val="12"/>
        <w:spacing w:before="0" w:beforeLines="0"/>
        <w:ind w:left="0" w:firstLine="1050" w:firstLineChars="500"/>
        <w:rPr>
          <w:rFonts w:cs="Times New Roman"/>
          <w:snapToGrid/>
          <w:color w:val="auto"/>
          <w:kern w:val="2"/>
          <w:sz w:val="21"/>
          <w:szCs w:val="21"/>
        </w:rPr>
      </w:pPr>
      <w:r>
        <w:rPr>
          <w:rFonts w:hint="eastAsia" w:cs="Times New Roman"/>
          <w:snapToGrid/>
          <w:color w:val="auto"/>
          <w:kern w:val="2"/>
          <w:sz w:val="21"/>
          <w:szCs w:val="21"/>
        </w:rPr>
        <w:t xml:space="preserve"> PC-TWA：指以时间为权数规定的 8h 工作日、40h 工作周的平均容许接触浓</w:t>
      </w:r>
    </w:p>
    <w:p>
      <w:pPr>
        <w:pStyle w:val="12"/>
        <w:spacing w:before="0" w:beforeLines="0"/>
        <w:ind w:left="0" w:firstLine="1050" w:firstLineChars="500"/>
        <w:rPr>
          <w:rFonts w:cs="Times New Roman"/>
          <w:snapToGrid/>
          <w:color w:val="auto"/>
          <w:kern w:val="2"/>
          <w:sz w:val="21"/>
          <w:szCs w:val="21"/>
        </w:rPr>
      </w:pPr>
      <w:r>
        <w:rPr>
          <w:rFonts w:hint="eastAsia" w:cs="Times New Roman"/>
          <w:snapToGrid/>
          <w:color w:val="auto"/>
          <w:kern w:val="2"/>
          <w:sz w:val="21"/>
          <w:szCs w:val="21"/>
        </w:rPr>
        <w:t xml:space="preserve"> 度</w:t>
      </w:r>
    </w:p>
    <w:p>
      <w:pPr>
        <w:pStyle w:val="12"/>
        <w:spacing w:before="0" w:beforeLines="0"/>
        <w:ind w:left="0" w:firstLine="1050" w:firstLineChars="500"/>
        <w:rPr>
          <w:rFonts w:cs="Times New Roman"/>
          <w:snapToGrid/>
          <w:color w:val="auto"/>
          <w:kern w:val="2"/>
          <w:sz w:val="21"/>
          <w:szCs w:val="21"/>
        </w:rPr>
      </w:pPr>
      <w:r>
        <w:rPr>
          <w:rFonts w:hint="eastAsia" w:cs="Times New Roman"/>
          <w:snapToGrid/>
          <w:color w:val="auto"/>
          <w:kern w:val="2"/>
          <w:sz w:val="21"/>
          <w:szCs w:val="21"/>
        </w:rPr>
        <w:t xml:space="preserve"> PC-STEL：指在遵守 PC-TWA 前提允许短时间（15min）接触的浓度</w:t>
      </w:r>
    </w:p>
    <w:p>
      <w:pPr>
        <w:pStyle w:val="12"/>
        <w:spacing w:before="0" w:beforeLines="0"/>
        <w:ind w:left="0" w:firstLine="1050" w:firstLineChars="500"/>
        <w:rPr>
          <w:rFonts w:cs="Times New Roman"/>
          <w:snapToGrid/>
          <w:color w:val="auto"/>
          <w:kern w:val="2"/>
          <w:sz w:val="21"/>
          <w:szCs w:val="21"/>
        </w:rPr>
      </w:pPr>
      <w:r>
        <w:rPr>
          <w:rFonts w:hint="eastAsia" w:cs="Times New Roman"/>
          <w:snapToGrid/>
          <w:color w:val="auto"/>
          <w:kern w:val="2"/>
          <w:sz w:val="21"/>
          <w:szCs w:val="21"/>
        </w:rPr>
        <w:t xml:space="preserve"> TLV-C：瞬时亦不得超过的限值。是专门对某些物质如刺激性气体或以急</w:t>
      </w:r>
    </w:p>
    <w:p>
      <w:pPr>
        <w:pStyle w:val="12"/>
        <w:spacing w:before="0" w:beforeLines="0"/>
        <w:ind w:left="0" w:firstLine="1050" w:firstLineChars="500"/>
        <w:rPr>
          <w:rFonts w:cs="Times New Roman"/>
          <w:snapToGrid/>
          <w:color w:val="auto"/>
          <w:kern w:val="2"/>
          <w:sz w:val="21"/>
          <w:szCs w:val="21"/>
        </w:rPr>
      </w:pPr>
      <w:r>
        <w:rPr>
          <w:rFonts w:hint="eastAsia" w:cs="Times New Roman"/>
          <w:snapToGrid/>
          <w:color w:val="auto"/>
          <w:kern w:val="2"/>
          <w:sz w:val="21"/>
          <w:szCs w:val="21"/>
        </w:rPr>
        <w:t xml:space="preserve"> 性作用为主的物质规定的</w:t>
      </w:r>
    </w:p>
    <w:p>
      <w:pPr>
        <w:pStyle w:val="12"/>
        <w:spacing w:before="0" w:beforeLines="0"/>
        <w:ind w:left="0" w:firstLine="1050" w:firstLineChars="500"/>
        <w:rPr>
          <w:rFonts w:cs="Times New Roman"/>
          <w:snapToGrid/>
          <w:color w:val="auto"/>
          <w:kern w:val="2"/>
          <w:sz w:val="21"/>
          <w:szCs w:val="21"/>
        </w:rPr>
      </w:pPr>
      <w:r>
        <w:rPr>
          <w:rFonts w:hint="eastAsia" w:cs="Times New Roman"/>
          <w:snapToGrid/>
          <w:color w:val="auto"/>
          <w:kern w:val="2"/>
          <w:sz w:val="21"/>
          <w:szCs w:val="21"/>
        </w:rPr>
        <w:t xml:space="preserve"> TLV-TWA：是指每日工作 8 小时或每周工作 40 小时的时间加权平均浓度，</w:t>
      </w:r>
    </w:p>
    <w:p>
      <w:pPr>
        <w:pStyle w:val="12"/>
        <w:spacing w:before="0" w:beforeLines="0"/>
        <w:ind w:left="0" w:firstLine="1050" w:firstLineChars="500"/>
        <w:rPr>
          <w:rFonts w:cs="Times New Roman"/>
          <w:snapToGrid/>
          <w:color w:val="auto"/>
          <w:kern w:val="2"/>
          <w:sz w:val="21"/>
          <w:szCs w:val="21"/>
        </w:rPr>
      </w:pPr>
      <w:r>
        <w:rPr>
          <w:rFonts w:hint="eastAsia" w:cs="Times New Roman"/>
          <w:snapToGrid/>
          <w:color w:val="auto"/>
          <w:kern w:val="2"/>
          <w:sz w:val="21"/>
          <w:szCs w:val="21"/>
        </w:rPr>
        <w:t xml:space="preserve"> 在此浓度下终身工作时间反复接触对几乎全部工人都不致产生不良效应</w:t>
      </w:r>
    </w:p>
    <w:p>
      <w:pPr>
        <w:pStyle w:val="12"/>
        <w:spacing w:before="0" w:beforeLines="0"/>
        <w:ind w:left="0" w:firstLine="1155" w:firstLineChars="550"/>
        <w:rPr>
          <w:rFonts w:cs="Times New Roman"/>
          <w:snapToGrid/>
          <w:color w:val="auto"/>
          <w:kern w:val="2"/>
          <w:sz w:val="21"/>
          <w:szCs w:val="21"/>
        </w:rPr>
      </w:pPr>
      <w:r>
        <w:rPr>
          <w:rFonts w:hint="eastAsia" w:cs="Times New Roman"/>
          <w:snapToGrid/>
          <w:color w:val="auto"/>
          <w:kern w:val="2"/>
          <w:sz w:val="21"/>
          <w:szCs w:val="21"/>
        </w:rPr>
        <w:t>TLV-STEL：是在保证遵守 TLV-TWA 的情况下，容许工人连续接触 15min 的</w:t>
      </w:r>
    </w:p>
    <w:p>
      <w:pPr>
        <w:pStyle w:val="12"/>
        <w:spacing w:before="0" w:beforeLines="0"/>
        <w:ind w:left="0" w:firstLine="1155" w:firstLineChars="550"/>
        <w:rPr>
          <w:rFonts w:cs="Times New Roman"/>
          <w:snapToGrid/>
          <w:color w:val="auto"/>
          <w:kern w:val="2"/>
          <w:sz w:val="21"/>
          <w:szCs w:val="21"/>
        </w:rPr>
      </w:pPr>
      <w:r>
        <w:rPr>
          <w:rFonts w:hint="eastAsia" w:cs="Times New Roman"/>
          <w:snapToGrid/>
          <w:color w:val="auto"/>
          <w:kern w:val="2"/>
          <w:sz w:val="21"/>
          <w:szCs w:val="21"/>
        </w:rPr>
        <w:t>最大浓度。此浓度在每个工作日中不得超过 4 次，且两次接触间隔至少</w:t>
      </w:r>
    </w:p>
    <w:p>
      <w:pPr>
        <w:pStyle w:val="12"/>
        <w:spacing w:before="0" w:beforeLines="0"/>
        <w:ind w:left="0" w:firstLine="1155" w:firstLineChars="550"/>
        <w:rPr>
          <w:rFonts w:cs="Times New Roman"/>
          <w:snapToGrid/>
          <w:color w:val="auto"/>
          <w:kern w:val="2"/>
          <w:sz w:val="21"/>
          <w:szCs w:val="21"/>
        </w:rPr>
      </w:pPr>
      <w:r>
        <w:rPr>
          <w:rFonts w:hint="eastAsia" w:cs="Times New Roman"/>
          <w:snapToGrid/>
          <w:color w:val="auto"/>
          <w:kern w:val="2"/>
          <w:sz w:val="21"/>
          <w:szCs w:val="21"/>
        </w:rPr>
        <w:t>60min。它是 TLV-TWA 的一个补充</w:t>
      </w:r>
    </w:p>
    <w:p>
      <w:pPr>
        <w:pStyle w:val="12"/>
        <w:spacing w:before="0" w:beforeLines="0"/>
        <w:ind w:left="0" w:firstLine="1155" w:firstLineChars="550"/>
        <w:rPr>
          <w:rFonts w:cs="Times New Roman"/>
          <w:snapToGrid/>
          <w:color w:val="auto"/>
          <w:kern w:val="2"/>
          <w:sz w:val="21"/>
          <w:szCs w:val="21"/>
        </w:rPr>
      </w:pPr>
      <w:r>
        <w:rPr>
          <w:rFonts w:hint="eastAsia" w:cs="Times New Roman"/>
          <w:snapToGrid/>
          <w:color w:val="auto"/>
          <w:kern w:val="2"/>
          <w:sz w:val="21"/>
          <w:szCs w:val="21"/>
        </w:rPr>
        <w:t>IARC：是指国际癌症研究所</w:t>
      </w:r>
    </w:p>
    <w:p>
      <w:pPr>
        <w:pStyle w:val="12"/>
        <w:spacing w:before="0" w:beforeLines="0"/>
        <w:ind w:left="0" w:firstLine="1155" w:firstLineChars="550"/>
        <w:rPr>
          <w:rFonts w:cs="Times New Roman"/>
          <w:snapToGrid/>
          <w:color w:val="auto"/>
          <w:kern w:val="2"/>
          <w:sz w:val="21"/>
          <w:szCs w:val="21"/>
        </w:rPr>
      </w:pPr>
      <w:r>
        <w:rPr>
          <w:rFonts w:hint="eastAsia" w:cs="Times New Roman"/>
          <w:snapToGrid/>
          <w:color w:val="auto"/>
          <w:kern w:val="2"/>
          <w:sz w:val="21"/>
          <w:szCs w:val="21"/>
        </w:rPr>
        <w:t>RTECS：是指美国国家职业安全和健康研究所的化学物质毒性数据库</w:t>
      </w:r>
    </w:p>
    <w:p>
      <w:pPr>
        <w:pStyle w:val="12"/>
        <w:spacing w:before="0" w:beforeLines="0"/>
        <w:ind w:left="0" w:firstLine="1155" w:firstLineChars="550"/>
        <w:rPr>
          <w:rFonts w:cs="Times New Roman"/>
          <w:snapToGrid/>
          <w:color w:val="auto"/>
          <w:kern w:val="2"/>
          <w:sz w:val="21"/>
          <w:szCs w:val="21"/>
        </w:rPr>
      </w:pPr>
      <w:r>
        <w:rPr>
          <w:rFonts w:hint="eastAsia" w:cs="Times New Roman"/>
          <w:snapToGrid/>
          <w:color w:val="auto"/>
          <w:kern w:val="2"/>
          <w:sz w:val="21"/>
          <w:szCs w:val="21"/>
        </w:rPr>
        <w:t>HSDB：是指美国国家医学图书馆的危险物质数据库</w:t>
      </w:r>
    </w:p>
    <w:p>
      <w:pPr>
        <w:pStyle w:val="12"/>
        <w:spacing w:before="0" w:beforeLines="0"/>
        <w:ind w:left="0" w:firstLine="1155" w:firstLineChars="550"/>
        <w:rPr>
          <w:rFonts w:cs="Times New Roman"/>
          <w:snapToGrid/>
          <w:color w:val="auto"/>
          <w:kern w:val="2"/>
          <w:sz w:val="21"/>
          <w:szCs w:val="21"/>
        </w:rPr>
      </w:pPr>
      <w:r>
        <w:rPr>
          <w:rFonts w:hint="eastAsia" w:cs="Times New Roman"/>
          <w:snapToGrid/>
          <w:color w:val="auto"/>
          <w:kern w:val="2"/>
          <w:sz w:val="21"/>
          <w:szCs w:val="21"/>
        </w:rPr>
        <w:t>ACGIH：是指美国政府工业卫生学家会议</w:t>
      </w:r>
    </w:p>
    <w:p>
      <w:pPr>
        <w:pStyle w:val="12"/>
        <w:spacing w:before="0" w:beforeLines="0"/>
        <w:ind w:left="1205" w:hanging="1205" w:hangingChars="500"/>
        <w:rPr>
          <w:rFonts w:cs="Times New Roman"/>
          <w:b/>
          <w:snapToGrid/>
          <w:color w:val="auto"/>
          <w:kern w:val="2"/>
          <w:sz w:val="21"/>
          <w:szCs w:val="21"/>
        </w:rPr>
      </w:pPr>
      <w:r>
        <w:rPr>
          <w:rFonts w:hint="eastAsia"/>
          <w:b/>
          <w:kern w:val="2"/>
          <w:sz w:val="24"/>
          <w:szCs w:val="24"/>
        </w:rPr>
        <w:t>免责声明：</w:t>
      </w:r>
      <w:r>
        <w:rPr>
          <w:rFonts w:hint="eastAsia" w:cs="Times New Roman"/>
          <w:b/>
          <w:snapToGrid/>
          <w:color w:val="auto"/>
          <w:kern w:val="2"/>
          <w:sz w:val="21"/>
          <w:szCs w:val="21"/>
        </w:rPr>
        <w:t>国家安全生产监督管理总局化学品登记中心等在本SDS 中全面真实地提供了相关资料，但我们并不能保证其绝对的广泛性和精确性。本SDS只为那些受过适当专业训练并使用该产品的有关人员提供对该产品的安全预防资料。获取该SDS的个人使用者，在特殊的使用条件下，必须对本SDS的适用性作出独立的判断。在特殊的使用场合下，由于使用本SDS所导致的伤害，化学品登记中心及我公司将不负任何责任</w:t>
      </w:r>
    </w:p>
    <w:p>
      <w:pPr>
        <w:spacing w:line="360" w:lineRule="auto"/>
        <w:ind w:left="1687" w:hanging="1687" w:hangingChars="600"/>
        <w:jc w:val="center"/>
        <w:rPr>
          <w:rFonts w:ascii="Calibri" w:hAnsi="Calibri" w:cs="Calibri"/>
          <w:b/>
          <w:sz w:val="28"/>
          <w:szCs w:val="28"/>
        </w:rPr>
      </w:pPr>
    </w:p>
    <w:sectPr>
      <w:headerReference r:id="rId5" w:type="first"/>
      <w:headerReference r:id="rId3" w:type="default"/>
      <w:footerReference r:id="rId6" w:type="default"/>
      <w:head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AdobeSongStd-Light-Acro">
    <w:altName w:val="方正舒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lang w:val="en-US" w:eastAsia="zh-CN"/>
      </w:rPr>
      <w:t>初次编制</w:t>
    </w:r>
    <w:r>
      <w:rPr>
        <w:rFonts w:hint="eastAsia"/>
      </w:rPr>
      <w:t>日期：202</w:t>
    </w:r>
    <w:r>
      <w:rPr>
        <w:rFonts w:hint="eastAsia"/>
        <w:lang w:val="en-US" w:eastAsia="zh-CN"/>
      </w:rPr>
      <w:t>3</w:t>
    </w:r>
    <w:r>
      <w:rPr>
        <w:rFonts w:hint="eastAsia"/>
      </w:rPr>
      <w:t>/</w:t>
    </w:r>
    <w:r>
      <w:rPr>
        <w:rFonts w:hint="eastAsia"/>
        <w:lang w:val="en-US" w:eastAsia="zh-CN"/>
      </w:rPr>
      <w:t>2</w:t>
    </w:r>
    <w:r>
      <w:rPr>
        <w:rFonts w:hint="eastAsia"/>
      </w:rPr>
      <w:t>/</w:t>
    </w:r>
    <w:r>
      <w:rPr>
        <w:rFonts w:hint="eastAsia"/>
        <w:lang w:val="en-US" w:eastAsia="zh-CN"/>
      </w:rPr>
      <w:t>1</w:t>
    </w:r>
    <w:r>
      <w:rPr>
        <w:rFonts w:hint="eastAsia"/>
      </w:rPr>
      <w:t xml:space="preserve">                                                   第</w:t>
    </w:r>
    <w:r>
      <w:fldChar w:fldCharType="begin"/>
    </w:r>
    <w:r>
      <w:instrText xml:space="preserve"> PAGE  \* Arabic  \* MERGEFORMAT </w:instrText>
    </w:r>
    <w:r>
      <w:fldChar w:fldCharType="separate"/>
    </w:r>
    <w:r>
      <w:t>1</w:t>
    </w:r>
    <w:r>
      <w:fldChar w:fldCharType="end"/>
    </w:r>
    <w:r>
      <w:rPr>
        <w:rFonts w:hint="eastAsia"/>
      </w:rPr>
      <w:t>页 共</w:t>
    </w:r>
    <w:r>
      <w:fldChar w:fldCharType="begin"/>
    </w:r>
    <w:r>
      <w:instrText xml:space="preserve"> NUMPAGES   \* MERGEFORMAT </w:instrText>
    </w:r>
    <w:r>
      <w:fldChar w:fldCharType="separate"/>
    </w:r>
    <w:r>
      <w:t>8</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jc w:val="left"/>
    </w:pPr>
    <w:r>
      <w:rPr>
        <w:sz w:val="18"/>
      </w:rPr>
      <w:pict>
        <v:shape id="PowerPlusWaterMarkObject35582" o:spid="_x0000_s2052" o:spt="136" type="#_x0000_t136" style="position:absolute;left:0pt;height:57.6pt;width:529.65pt;mso-position-horizontal:center;mso-position-horizontal-relative:margin;mso-position-vertical:center;mso-position-vertical-relative:margin;rotation:-2949120f;z-index:-251653120;mso-width-relative:page;mso-height-relative:page;" fillcolor="#C0C0C0" filled="t" stroked="f" coordsize="21600,21600" adj="10800">
          <v:path/>
          <v:fill on="t" opacity="32768f" focussize="0,0"/>
          <v:stroke on="f"/>
          <v:imagedata o:title=""/>
          <o:lock v:ext="edit" aspectratio="t"/>
          <v:textpath on="t" fitshape="t" fitpath="t" trim="t" xscale="f" string="华鲁恒升（荆州）有限公司" style="font-family:微软雅黑;font-size:36pt;v-same-letter-heights:f;v-text-align:center;"/>
        </v:shape>
      </w:pict>
    </w:r>
    <w:r>
      <w:rPr>
        <w:rFonts w:hint="eastAsia" w:ascii="Calibri" w:hAnsi="Calibri" w:cs="Calibri"/>
        <w:szCs w:val="21"/>
      </w:rPr>
      <w:t>产品名称：乙酸；醋酸</w:t>
    </w:r>
    <w:r>
      <w:rPr>
        <w:rFonts w:ascii="Calibri" w:hAnsi="Calibri" w:cs="Calibri"/>
        <w:sz w:val="21"/>
        <w:szCs w:val="21"/>
      </w:rPr>
      <w:ptab w:relativeTo="margin" w:alignment="right" w:leader="none"/>
    </w:r>
    <w:r>
      <w:rPr>
        <w:rFonts w:hint="eastAsia" w:ascii="Calibri" w:hAnsi="Calibri" w:cs="Calibri"/>
        <w:szCs w:val="21"/>
      </w:rPr>
      <w:t>SDS编号：HLHS/SDS-0</w:t>
    </w:r>
    <w:r>
      <w:rPr>
        <w:rFonts w:hint="eastAsia" w:ascii="Calibri" w:hAnsi="Calibri" w:cs="Calibri"/>
        <w:szCs w:val="21"/>
        <w:lang w:val="en-US" w:eastAsia="zh-CN"/>
      </w:rPr>
      <w:t>1</w:t>
    </w:r>
    <w:r>
      <w:rPr>
        <w:rFonts w:hint="eastAsia" w:ascii="Calibri" w:hAnsi="Calibri" w:cs="Calibri"/>
        <w:szCs w:val="21"/>
      </w:rPr>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PowerPlusWaterMarkObject297017901" o:spid="_x0000_s2050" o:spt="136" type="#_x0000_t136" style="position:absolute;left:0pt;height:39pt;width:546.4pt;mso-position-horizontal:center;mso-position-horizontal-relative:margin;mso-position-vertical:center;mso-position-vertical-relative:margin;rotation:20643840f;z-index:-251654144;mso-width-relative:page;mso-height-relative:page;" fillcolor="#C0C0C0" filled="t" stroked="f" coordsize="21600,21600" o:allowincell="f">
          <v:path/>
          <v:fill on="t" focussize="0,0"/>
          <v:stroke on="f"/>
          <v:imagedata o:title=""/>
          <o:lock v:ext="edit"/>
          <v:textpath on="t" fitshape="t" fitpath="t" trim="f" xscale="f" string="山东华鲁恒升化工股份有限公司"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PowerPlusWaterMarkObject297017900" o:spid="_x0000_s2049" o:spt="136" type="#_x0000_t136" style="position:absolute;left:0pt;height:39pt;width:546.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focussize="0,0"/>
          <v:stroke on="f"/>
          <v:imagedata o:title=""/>
          <o:lock v:ext="edit"/>
          <v:textpath on="t" fitshape="t" fitpath="t" trim="f" xscale="f" string="山东华鲁恒升化工股份有限公司" style="font-family:宋体;font-size:1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E3ZTNhZmRhMzJmZDEwMjNmZGZiOTQ1MDIyNTU5MmQifQ=="/>
  </w:docVars>
  <w:rsids>
    <w:rsidRoot w:val="00031FAE"/>
    <w:rsid w:val="00003644"/>
    <w:rsid w:val="000045FD"/>
    <w:rsid w:val="00020286"/>
    <w:rsid w:val="000314AD"/>
    <w:rsid w:val="00031FAE"/>
    <w:rsid w:val="0004166D"/>
    <w:rsid w:val="00047449"/>
    <w:rsid w:val="00047A60"/>
    <w:rsid w:val="00051767"/>
    <w:rsid w:val="0008451F"/>
    <w:rsid w:val="000858E9"/>
    <w:rsid w:val="00090666"/>
    <w:rsid w:val="000942D6"/>
    <w:rsid w:val="000C292B"/>
    <w:rsid w:val="000E29F5"/>
    <w:rsid w:val="000E6085"/>
    <w:rsid w:val="001009B8"/>
    <w:rsid w:val="001065EE"/>
    <w:rsid w:val="00111732"/>
    <w:rsid w:val="00120A6D"/>
    <w:rsid w:val="00123B87"/>
    <w:rsid w:val="00137BD4"/>
    <w:rsid w:val="001420BF"/>
    <w:rsid w:val="00182848"/>
    <w:rsid w:val="0018625C"/>
    <w:rsid w:val="0019049A"/>
    <w:rsid w:val="00197654"/>
    <w:rsid w:val="001B01DA"/>
    <w:rsid w:val="001B04EA"/>
    <w:rsid w:val="001B7F5F"/>
    <w:rsid w:val="001C06ED"/>
    <w:rsid w:val="001E0DBC"/>
    <w:rsid w:val="001E2D57"/>
    <w:rsid w:val="00211537"/>
    <w:rsid w:val="00212C7A"/>
    <w:rsid w:val="00226196"/>
    <w:rsid w:val="00226C0C"/>
    <w:rsid w:val="0025121F"/>
    <w:rsid w:val="002579E1"/>
    <w:rsid w:val="0027622B"/>
    <w:rsid w:val="002A3B98"/>
    <w:rsid w:val="002A7629"/>
    <w:rsid w:val="002C3349"/>
    <w:rsid w:val="002C621F"/>
    <w:rsid w:val="002C6C5E"/>
    <w:rsid w:val="00304F6F"/>
    <w:rsid w:val="00334EC1"/>
    <w:rsid w:val="0033763A"/>
    <w:rsid w:val="00356931"/>
    <w:rsid w:val="00363C76"/>
    <w:rsid w:val="003805EC"/>
    <w:rsid w:val="00384C32"/>
    <w:rsid w:val="003A2941"/>
    <w:rsid w:val="003A2B28"/>
    <w:rsid w:val="003A3C63"/>
    <w:rsid w:val="003C366B"/>
    <w:rsid w:val="003D515C"/>
    <w:rsid w:val="003F1657"/>
    <w:rsid w:val="00414588"/>
    <w:rsid w:val="00427A5B"/>
    <w:rsid w:val="00427EEC"/>
    <w:rsid w:val="004403A4"/>
    <w:rsid w:val="00455B8E"/>
    <w:rsid w:val="00460389"/>
    <w:rsid w:val="0048330C"/>
    <w:rsid w:val="004A3728"/>
    <w:rsid w:val="004A799A"/>
    <w:rsid w:val="004D768C"/>
    <w:rsid w:val="004D771D"/>
    <w:rsid w:val="004E454B"/>
    <w:rsid w:val="004E58F0"/>
    <w:rsid w:val="004E640F"/>
    <w:rsid w:val="00507107"/>
    <w:rsid w:val="005101B2"/>
    <w:rsid w:val="00515885"/>
    <w:rsid w:val="00526E46"/>
    <w:rsid w:val="00532921"/>
    <w:rsid w:val="00536459"/>
    <w:rsid w:val="005373C4"/>
    <w:rsid w:val="005412D2"/>
    <w:rsid w:val="00561A7A"/>
    <w:rsid w:val="00580B90"/>
    <w:rsid w:val="005B11E9"/>
    <w:rsid w:val="005C6318"/>
    <w:rsid w:val="005C78A8"/>
    <w:rsid w:val="005D3188"/>
    <w:rsid w:val="00601871"/>
    <w:rsid w:val="006215FE"/>
    <w:rsid w:val="00634D77"/>
    <w:rsid w:val="00643A2F"/>
    <w:rsid w:val="00652B50"/>
    <w:rsid w:val="006668D9"/>
    <w:rsid w:val="00692FE5"/>
    <w:rsid w:val="006A70B3"/>
    <w:rsid w:val="006D1981"/>
    <w:rsid w:val="006F3846"/>
    <w:rsid w:val="0070237D"/>
    <w:rsid w:val="00716E9A"/>
    <w:rsid w:val="0072239F"/>
    <w:rsid w:val="007514D0"/>
    <w:rsid w:val="00762738"/>
    <w:rsid w:val="0076529D"/>
    <w:rsid w:val="00784F6C"/>
    <w:rsid w:val="007F150B"/>
    <w:rsid w:val="00832AE1"/>
    <w:rsid w:val="00844FE4"/>
    <w:rsid w:val="0084527E"/>
    <w:rsid w:val="008B5896"/>
    <w:rsid w:val="008D60B9"/>
    <w:rsid w:val="00906260"/>
    <w:rsid w:val="00926DE3"/>
    <w:rsid w:val="00937F75"/>
    <w:rsid w:val="0094159D"/>
    <w:rsid w:val="0094270E"/>
    <w:rsid w:val="009539A6"/>
    <w:rsid w:val="009602E2"/>
    <w:rsid w:val="00966B91"/>
    <w:rsid w:val="00980CC8"/>
    <w:rsid w:val="0098115F"/>
    <w:rsid w:val="00981370"/>
    <w:rsid w:val="00981D18"/>
    <w:rsid w:val="0099172B"/>
    <w:rsid w:val="009B24DB"/>
    <w:rsid w:val="009C2375"/>
    <w:rsid w:val="009C5FA7"/>
    <w:rsid w:val="009D11FF"/>
    <w:rsid w:val="009F09DA"/>
    <w:rsid w:val="009F60F9"/>
    <w:rsid w:val="00A03BF7"/>
    <w:rsid w:val="00A17CAC"/>
    <w:rsid w:val="00AA1EE4"/>
    <w:rsid w:val="00AA38CB"/>
    <w:rsid w:val="00AA63BD"/>
    <w:rsid w:val="00AB454E"/>
    <w:rsid w:val="00AC7D20"/>
    <w:rsid w:val="00AD4FDC"/>
    <w:rsid w:val="00AE5621"/>
    <w:rsid w:val="00AF1B9C"/>
    <w:rsid w:val="00AF5C3D"/>
    <w:rsid w:val="00B11BCD"/>
    <w:rsid w:val="00B21ADE"/>
    <w:rsid w:val="00B22FC5"/>
    <w:rsid w:val="00B37A2C"/>
    <w:rsid w:val="00B447E4"/>
    <w:rsid w:val="00B64800"/>
    <w:rsid w:val="00B72E3A"/>
    <w:rsid w:val="00B75BE4"/>
    <w:rsid w:val="00B875BD"/>
    <w:rsid w:val="00B97E8A"/>
    <w:rsid w:val="00BD0891"/>
    <w:rsid w:val="00BD7626"/>
    <w:rsid w:val="00BD79E6"/>
    <w:rsid w:val="00BE5BD1"/>
    <w:rsid w:val="00BE68C6"/>
    <w:rsid w:val="00BE69D8"/>
    <w:rsid w:val="00C032BC"/>
    <w:rsid w:val="00C4162F"/>
    <w:rsid w:val="00C6767A"/>
    <w:rsid w:val="00C93A60"/>
    <w:rsid w:val="00CA01A0"/>
    <w:rsid w:val="00CA5FE2"/>
    <w:rsid w:val="00CB2FDA"/>
    <w:rsid w:val="00CC019A"/>
    <w:rsid w:val="00D068E1"/>
    <w:rsid w:val="00D14AF5"/>
    <w:rsid w:val="00D25E30"/>
    <w:rsid w:val="00D32EC1"/>
    <w:rsid w:val="00D36A3E"/>
    <w:rsid w:val="00D46883"/>
    <w:rsid w:val="00D477D4"/>
    <w:rsid w:val="00D61972"/>
    <w:rsid w:val="00D754DD"/>
    <w:rsid w:val="00D9239A"/>
    <w:rsid w:val="00DA17EB"/>
    <w:rsid w:val="00DD7DB1"/>
    <w:rsid w:val="00DE2751"/>
    <w:rsid w:val="00DF4D4C"/>
    <w:rsid w:val="00E4404A"/>
    <w:rsid w:val="00E44ADC"/>
    <w:rsid w:val="00E46B5B"/>
    <w:rsid w:val="00E7628A"/>
    <w:rsid w:val="00E85FA0"/>
    <w:rsid w:val="00E868B3"/>
    <w:rsid w:val="00EE0526"/>
    <w:rsid w:val="00F06DB2"/>
    <w:rsid w:val="00F0746A"/>
    <w:rsid w:val="00F22013"/>
    <w:rsid w:val="00F26903"/>
    <w:rsid w:val="00F2690F"/>
    <w:rsid w:val="00F401AB"/>
    <w:rsid w:val="00F40AF0"/>
    <w:rsid w:val="00F42089"/>
    <w:rsid w:val="00F716BE"/>
    <w:rsid w:val="00F75B3A"/>
    <w:rsid w:val="00F84D97"/>
    <w:rsid w:val="00F91AEE"/>
    <w:rsid w:val="00F921B6"/>
    <w:rsid w:val="00FA308A"/>
    <w:rsid w:val="00FA5C4C"/>
    <w:rsid w:val="00FC03EC"/>
    <w:rsid w:val="00FC1930"/>
    <w:rsid w:val="00FD50BB"/>
    <w:rsid w:val="00FF1D2C"/>
    <w:rsid w:val="00FF4D5D"/>
    <w:rsid w:val="421F10C7"/>
    <w:rsid w:val="59315BFF"/>
    <w:rsid w:val="65170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link w:val="16"/>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Normal_0"/>
    <w:link w:val="13"/>
    <w:qFormat/>
    <w:uiPriority w:val="0"/>
    <w:pPr>
      <w:spacing w:before="120" w:after="240"/>
      <w:jc w:val="both"/>
    </w:pPr>
    <w:rPr>
      <w:rFonts w:asciiTheme="minorHAnsi" w:hAnsiTheme="minorHAnsi" w:eastAsiaTheme="minorHAnsi" w:cstheme="minorBidi"/>
      <w:kern w:val="0"/>
      <w:sz w:val="22"/>
      <w:szCs w:val="22"/>
      <w:lang w:val="en-US" w:eastAsia="en-US" w:bidi="ar-SA"/>
    </w:rPr>
  </w:style>
  <w:style w:type="character" w:customStyle="1" w:styleId="11">
    <w:name w:val="批注框文本 Char"/>
    <w:basedOn w:val="7"/>
    <w:link w:val="2"/>
    <w:semiHidden/>
    <w:qFormat/>
    <w:uiPriority w:val="99"/>
    <w:rPr>
      <w:sz w:val="18"/>
      <w:szCs w:val="18"/>
    </w:rPr>
  </w:style>
  <w:style w:type="paragraph" w:customStyle="1" w:styleId="12">
    <w:name w:val="小正文11号"/>
    <w:basedOn w:val="10"/>
    <w:link w:val="14"/>
    <w:qFormat/>
    <w:uiPriority w:val="0"/>
    <w:pPr>
      <w:adjustRightInd w:val="0"/>
      <w:snapToGrid w:val="0"/>
      <w:spacing w:beforeLines="50" w:after="0" w:line="360" w:lineRule="auto"/>
      <w:ind w:left="2200" w:hanging="2200" w:hangingChars="1000"/>
      <w:jc w:val="left"/>
    </w:pPr>
    <w:rPr>
      <w:rFonts w:ascii="宋体" w:hAnsi="宋体" w:eastAsia="宋体" w:cs="宋体"/>
      <w:snapToGrid w:val="0"/>
      <w:color w:val="000000"/>
      <w:lang w:eastAsia="zh-CN"/>
    </w:rPr>
  </w:style>
  <w:style w:type="character" w:customStyle="1" w:styleId="13">
    <w:name w:val="Normal_0 Char"/>
    <w:basedOn w:val="7"/>
    <w:link w:val="10"/>
    <w:uiPriority w:val="0"/>
    <w:rPr>
      <w:rFonts w:eastAsiaTheme="minorHAnsi"/>
      <w:kern w:val="0"/>
      <w:sz w:val="22"/>
      <w:lang w:eastAsia="en-US"/>
    </w:rPr>
  </w:style>
  <w:style w:type="character" w:customStyle="1" w:styleId="14">
    <w:name w:val="小正文11号 Char"/>
    <w:basedOn w:val="13"/>
    <w:link w:val="12"/>
    <w:qFormat/>
    <w:uiPriority w:val="0"/>
    <w:rPr>
      <w:rFonts w:eastAsiaTheme="minorHAnsi"/>
      <w:kern w:val="0"/>
      <w:sz w:val="22"/>
      <w:lang w:eastAsia="en-US"/>
    </w:rPr>
  </w:style>
  <w:style w:type="character" w:customStyle="1" w:styleId="15">
    <w:name w:val="bt21"/>
    <w:basedOn w:val="7"/>
    <w:qFormat/>
    <w:uiPriority w:val="0"/>
    <w:rPr>
      <w:rFonts w:hint="eastAsia" w:ascii="黑体" w:eastAsia="黑体"/>
      <w:sz w:val="24"/>
      <w:szCs w:val="24"/>
    </w:rPr>
  </w:style>
  <w:style w:type="character" w:customStyle="1" w:styleId="16">
    <w:name w:val="普通(网站) Char"/>
    <w:basedOn w:val="7"/>
    <w:link w:val="5"/>
    <w:qFormat/>
    <w:uiPriority w:val="0"/>
    <w:rPr>
      <w:rFonts w:ascii="宋体" w:hAnsi="宋体" w:eastAsia="宋体" w:cs="宋体"/>
      <w:kern w:val="0"/>
      <w:sz w:val="24"/>
      <w:szCs w:val="24"/>
    </w:rPr>
  </w:style>
  <w:style w:type="character" w:customStyle="1" w:styleId="17">
    <w:name w:val="zw1"/>
    <w:basedOn w:val="7"/>
    <w:qFormat/>
    <w:uiPriority w:val="0"/>
    <w:rPr>
      <w:rFonts w:hint="eastAsia" w:ascii="宋体" w:hAnsi="宋体" w:eastAsia="宋体"/>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2"/>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328725-C6FD-4A6F-A50B-A2EEAC73B0E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5002</Words>
  <Characters>5736</Characters>
  <Lines>45</Lines>
  <Paragraphs>12</Paragraphs>
  <TotalTime>0</TotalTime>
  <ScaleCrop>false</ScaleCrop>
  <LinksUpToDate>false</LinksUpToDate>
  <CharactersWithSpaces>6237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2017-06-21T08:17:00Z</dcterms:created>
  <dc:creator>微软用户</dc:creator>
  <cp:lastModifiedBy>翔子</cp:lastModifiedBy>
  <cp:lastPrinted>2020-09-03T00:52:00Z</cp:lastPrinted>
  <dcterms:modified xsi:type="dcterms:W3CDTF">2023-03-08T06:17:13Z</dcterms:modified>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62222EC3D3EA4016A08A7FA78585259B</vt:lpwstr>
  </property>
</Properties>
</file>