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image/png" PartName="/word/media/document_image_rId5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ORACLE_JRE JAXB in Oracle Java 1.8.0_45 on Linux -->
    <w:p>
      <w:pPr>
        <w:spacing w:before="135" w:after="135" w:line="240" w:lineRule="auto"/>
        <w:jc w:val="center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第1部分  化学品及企业标识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化学品中文名：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正丁醇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化学品英文名：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Butan-1-ol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CAS号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：71-36-3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分子式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：C4H10O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分子量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：74.12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产品推荐及限制用途：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工业及科研用途。</w:t>
      </w:r>
    </w:p>
    <w:p>
      <w:pPr>
        <w:spacing w:before="135" w:after="135" w:line="240" w:lineRule="auto"/>
        <w:jc w:val="center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第2部分  危险性概述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紧急情况概述：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易燃液体和蒸气。吞咽有害。造成皮肤刺激。造成严重眼损伤。可引起呼吸道刺激。可引起昏睡或眩晕。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GHS危险性类别：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易燃液体 类别3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急性经口毒性 类别4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皮肤腐蚀/刺激 类别2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严重眼损伤/眼刺激 类别1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特异性靶器官毒性一次接触 类别3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特异性靶器官毒性一次接触 类别3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标签要素：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象形图：</w:t>
      </w:r>
      <w:r>
        <w:drawing>
          <wp:inline distT="0" distB="0" distL="0" distR="0">
            <wp:extent cx="857250" cy="1428750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 </w:t>
      </w:r>
      <w:r>
        <w:drawing>
          <wp:inline distT="0" distB="0" distL="0" distR="0">
            <wp:extent cx="857250" cy="1428750"/>
            <wp:effectExtent l="0" t="0" r="0" b="0"/>
            <wp:docPr id="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 </w:t>
      </w:r>
      <w:r>
        <w:drawing>
          <wp:inline distT="0" distB="0" distL="0" distR="0">
            <wp:extent cx="857250" cy="1428750"/>
            <wp:effectExtent l="0" t="0" r="0" b="0"/>
            <wp:docPr id="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警示词：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危险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危险性说明：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H226易燃液体和蒸气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H302吞咽有害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H315造成皮肤刺激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H318造成严重眼损伤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H335可引起呼吸道刺激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H336可引起昏睡或眩晕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防范说明：</w:t>
      </w:r>
    </w:p>
    <w:p>
      <w:pPr>
        <w:spacing w:line="240" w:lineRule="auto"/>
        <w:ind w:left="1215"/>
      </w:pPr>
      <w:r>
        <w:rPr>
          <w:rFonts w:hint="eastAsia"/>
          <w:noProof/>
          <w:sz w:val="20"/>
        </w:rPr>
        <w:t>∙</w:t>
      </w: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预防措施：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——P210远离热源/火花/明火/热表面。禁止吸烟。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——P233保持容器密闭。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——P240容器和装载设备接地/等势联接。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——P241使用防爆的电气/通风/照明/设备。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——P242只能使用不产生火花的工具。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——P243采取防止静电放电的措施。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——P280戴防护手套/穿防护服/戴防护眼罩/戴防护面具。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——P264作业后彻底清洗。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——P270使用本产品时不要进食、饮水或吸烟。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——P261避免吸入粉尘/烟/气体/烟雾/蒸气/喷雾。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——P271只能在室外或通风良好处使用。</w:t>
      </w:r>
    </w:p>
    <w:p>
      <w:pPr>
        <w:spacing w:line="240" w:lineRule="auto"/>
        <w:ind w:left="1215"/>
      </w:pPr>
      <w:r>
        <w:rPr>
          <w:rFonts w:hint="eastAsia"/>
          <w:noProof/>
          <w:sz w:val="20"/>
        </w:rPr>
        <w:t>∙</w:t>
      </w: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事故响应：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——P303+P361+P353如皮肤(或头发)沾染：立即脱掉所有沾染的衣服。用水清洗皮肤/淋浴。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——P370+P378火灾时：使用灭火器灭火。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——P301+P312如误吞咽：如感觉不适，呼叫解毒中心/医生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——P330漱口。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——P302+P352如皮肤沾染：用水充分清洗。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——P332+P313如发生皮肤刺激：求医/就诊。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——P362+P364脱掉沾染的衣服，清洗后方可重新使用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——P305+P351+P338如进入眼睛：用水小心冲洗几分钟。如戴隐形眼镜并可方便地取出，取出隐形眼镜。继续冲洗。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——P310立即呼叫解毒中心/医生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——P304+P340如误吸入：将人转移到空气新鲜处，保持呼吸舒适体位。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——P312如感觉不适，呼叫解毒中心/医生</w:t>
      </w:r>
    </w:p>
    <w:p>
      <w:pPr>
        <w:spacing w:line="240" w:lineRule="auto"/>
        <w:ind w:left="1215"/>
      </w:pPr>
      <w:r>
        <w:rPr>
          <w:rFonts w:hint="eastAsia"/>
          <w:noProof/>
          <w:sz w:val="20"/>
        </w:rPr>
        <w:t>∙</w:t>
      </w: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安全储存：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——P403+P235存放在通风良好的地方。保持低温。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——P403+P233存放在通风良好的地方。保持容器密闭。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——P405存放处须加锁。</w:t>
      </w:r>
    </w:p>
    <w:p>
      <w:pPr>
        <w:spacing w:line="240" w:lineRule="auto"/>
        <w:ind w:left="1215"/>
      </w:pPr>
      <w:r>
        <w:rPr>
          <w:rFonts w:hint="eastAsia"/>
          <w:noProof/>
          <w:sz w:val="20"/>
        </w:rPr>
        <w:t>∙</w:t>
      </w: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废弃处置：</w:t>
      </w:r>
    </w:p>
    <w:p>
      <w:pPr>
        <w:spacing w:line="240" w:lineRule="auto"/>
        <w:ind w:left="1620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——P501按当地法规处置内装物/容器。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物理和化学危险：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易燃液体和蒸气。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健康危害：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吞咽有害。造成皮肤刺激。造成严重眼损伤。可引起呼吸道刺激。可引起昏睡或眩晕。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环境危害：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无资料</w:t>
      </w:r>
    </w:p>
    <w:p>
      <w:pPr>
        <w:spacing w:before="135" w:after="135" w:line="240" w:lineRule="auto"/>
        <w:jc w:val="center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第3部分  成分/组成信息</w:t>
      </w:r>
    </w:p>
    <w:tbl>
      <w:tblPr>
        <w:tblW w:w="0" w:type="dxa"/>
      </w:tblPr>
      <w:tblGrid>
        <w:gridCol w:w="5130"/>
        <w:gridCol w:w="3000"/>
        <w:gridCol w:w="1500"/>
      </w:tblGrid>
      <w:tr>
        <w:trPr/>
        <w:tc>
          <w:tcPr>
            <w:cnfStyle w:val="001000000000"/>
            <w:tcW w:w="5130" w:type="dxa"/>
            <w:tcBorders>
              <w:top w:val="single" w:color="EEEEEE" w:sz="6"/>
              <w:left w:val="single" w:color="EEEEEE" w:sz="6"/>
              <w:bottom w:val="single" w:color="EEEEEE" w:sz="6"/>
              <w:right w:val="single" w:color="EEEEEE" w:sz="6"/>
            </w:tcBorders>
          </w:tcPr>
          <w:p>
            <w:pPr>
              <w:spacing w:line="240" w:lineRule="auto"/>
            </w:pPr>
            <w:r>
              <w:rPr>
                <w:rFonts w:hint="eastAsia" w:ascii="&quot;Times New Roman&quot;" w:hAnsi="&quot;Times New Roman&quot;" w:eastAsia="&quot;Times New Roman&quot;"/>
                <w:b/>
                <w:noProof/>
                <w:sz w:val="21"/>
              </w:rPr>
              <w:t>组分</w:t>
            </w:r>
          </w:p>
        </w:tc>
        <w:tc>
          <w:tcPr>
            <w:cnfStyle w:val="001000000000"/>
            <w:tcW w:w="3000" w:type="dxa"/>
            <w:tcBorders>
              <w:top w:val="single" w:color="EEEEEE" w:sz="6"/>
              <w:left w:val="single" w:color="EEEEEE" w:sz="6"/>
              <w:bottom w:val="single" w:color="EEEEEE" w:sz="6"/>
              <w:right w:val="single" w:color="EEEEEE" w:sz="6"/>
            </w:tcBorders>
          </w:tcPr>
          <w:p>
            <w:pPr>
              <w:spacing w:line="240" w:lineRule="auto"/>
            </w:pPr>
            <w:r>
              <w:rPr>
                <w:rFonts w:hint="eastAsia" w:ascii="&quot;Times New Roman&quot;" w:hAnsi="&quot;Times New Roman&quot;" w:eastAsia="&quot;Times New Roman&quot;"/>
                <w:b/>
                <w:noProof/>
                <w:sz w:val="21"/>
              </w:rPr>
              <w:t>浓度或浓度范围(质量分数，%)</w:t>
            </w:r>
          </w:p>
        </w:tc>
        <w:tc>
          <w:tcPr>
            <w:cnfStyle w:val="001000000000"/>
            <w:tcW w:w="1500" w:type="dxa"/>
            <w:tcBorders>
              <w:top w:val="single" w:color="EEEEEE" w:sz="6"/>
              <w:left w:val="single" w:color="EEEEEE" w:sz="6"/>
              <w:bottom w:val="single" w:color="EEEEEE" w:sz="6"/>
              <w:right w:val="single" w:color="EEEEEE" w:sz="6"/>
            </w:tcBorders>
          </w:tcPr>
          <w:p>
            <w:pPr>
              <w:spacing w:line="240" w:lineRule="auto"/>
            </w:pPr>
            <w:r>
              <w:rPr>
                <w:rFonts w:hint="eastAsia" w:ascii="&quot;Times New Roman&quot;" w:hAnsi="&quot;Times New Roman&quot;" w:eastAsia="&quot;Times New Roman&quot;"/>
                <w:b/>
                <w:noProof/>
                <w:sz w:val="21"/>
              </w:rPr>
              <w:t>CASNo.</w:t>
            </w:r>
          </w:p>
        </w:tc>
      </w:tr>
      <w:tr>
        <w:trPr/>
        <w:tc>
          <w:tcPr>
            <w:cnfStyle w:val="001000000000"/>
            <w:tcW w:w="5130" w:type="dxa"/>
            <w:tcBorders>
              <w:top w:val="single" w:color="EEEEEE" w:sz="6"/>
              <w:left w:val="single" w:color="EEEEEE" w:sz="6"/>
              <w:bottom w:val="single" w:color="EEEEEE" w:sz="6"/>
              <w:right w:val="single" w:color="EEEEEE" w:sz="6"/>
            </w:tcBorders>
          </w:tcPr>
          <w:p>
            <w:pPr>
              <w:spacing w:line="240" w:lineRule="auto"/>
            </w:pPr>
            <w:r>
              <w:rPr>
                <w:rFonts w:hint="eastAsia" w:ascii="&quot;Times New Roman&quot;" w:hAnsi="&quot;Times New Roman&quot;" w:eastAsia="&quot;Times New Roman&quot;"/>
                <w:noProof/>
                <w:sz w:val="21"/>
              </w:rPr>
              <w:t>Butan-1-ol</w:t>
            </w:r>
          </w:p>
        </w:tc>
        <w:tc>
          <w:tcPr>
            <w:cnfStyle w:val="001000000000"/>
            <w:tcW w:w="3000" w:type="dxa"/>
            <w:tcBorders>
              <w:top w:val="single" w:color="EEEEEE" w:sz="6"/>
              <w:left w:val="single" w:color="EEEEEE" w:sz="6"/>
              <w:bottom w:val="single" w:color="EEEEEE" w:sz="6"/>
              <w:right w:val="single" w:color="EEEEEE" w:sz="6"/>
            </w:tcBorders>
          </w:tcPr>
          <w:p>
            <w:pPr>
              <w:spacing w:line="240" w:lineRule="auto"/>
            </w:pPr>
            <w:r>
              <w:rPr>
                <w:rFonts w:hint="eastAsia" w:ascii="&quot;Times New Roman&quot;" w:hAnsi="&quot;Times New Roman&quot;" w:eastAsia="&quot;Times New Roman&quot;"/>
                <w:noProof/>
                <w:sz w:val="21"/>
              </w:rPr>
              <w:t>100%</w:t>
            </w:r>
          </w:p>
        </w:tc>
        <w:tc>
          <w:tcPr>
            <w:cnfStyle w:val="001000000000"/>
            <w:tcW w:w="1500" w:type="dxa"/>
            <w:tcBorders>
              <w:top w:val="single" w:color="EEEEEE" w:sz="6"/>
              <w:left w:val="single" w:color="EEEEEE" w:sz="6"/>
              <w:bottom w:val="single" w:color="EEEEEE" w:sz="6"/>
              <w:right w:val="single" w:color="EEEEEE" w:sz="6"/>
            </w:tcBorders>
          </w:tcPr>
          <w:p>
            <w:pPr>
              <w:spacing w:line="240" w:lineRule="auto"/>
            </w:pPr>
            <w:r>
              <w:rPr>
                <w:rFonts w:hint="eastAsia" w:ascii="&quot;Times New Roman&quot;" w:hAnsi="&quot;Times New Roman&quot;" w:eastAsia="&quot;Times New Roman&quot;"/>
                <w:noProof/>
                <w:sz w:val="21"/>
              </w:rPr>
              <w:t>71-36-3</w:t>
            </w:r>
          </w:p>
        </w:tc>
      </w:tr>
    </w:tbl>
    <w:p>
      <w:pPr>
        <w:spacing w:before="135" w:after="135" w:line="240" w:lineRule="auto"/>
        <w:jc w:val="center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第4部分  急救措施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急救：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吸入：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迅速脱离现场至空气新鲜处。保持呼吸道通畅。如呼吸困难，给输氧。呼吸、心跳停止，立即进行心肺复苏术。就医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皮肤接触：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立即脱去污染的衣着，用肥皂水和清水彻底冲洗。就医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眼晴接触：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立即分开眼睑，用流动清水或生理盐水彻底冲洗。就医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食入：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尽量饮水，给服活性炭悬液，忌药物催吐。就医酒精增加本品毒性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对保护施救者的忠告：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将患者转移到安全的场所。咨询医生。出示此化学品安全技术说明书给到现场的医生看。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对医生的特别提示：</w:t>
      </w:r>
      <w:r>
        <w:rPr>
          <w:rFonts w:hint="eastAsia" w:ascii="&quot;Times New Roman&quot;" w:hAnsi="&quot;Times New Roman&quot;" w:eastAsia="&quot;Times New Roman&quot;"/>
          <w:noProof/>
          <w:sz w:val="21"/>
        </w:rPr>
        <w:t>无资料</w:t>
      </w:r>
    </w:p>
    <w:p>
      <w:pPr>
        <w:spacing w:before="135" w:after="135" w:line="240" w:lineRule="auto"/>
        <w:jc w:val="center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第5部分  消防措施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灭火剂：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用水雾、干粉、泡沫或二氧化碳灭火剂灭火。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避免使用直流水灭火，直流水可能导致可燃性液体的飞溅，使火势扩散。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特别危险性：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易燃。蒸气与空气能形成爆炸性混合物，遇明火、高热会引起燃烧爆炸并放出有毒气体。蒸气比空气重，能在较低处扩散到相当远的地方，遇火源会着火回燃和爆炸（闪爆）。在火场中，受热的容器或储罐有爆炸危险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b/>
          <w:noProof/>
          <w:sz w:val="21"/>
        </w:rPr>
        <w:t>灭火注意事项及防护措施：</w:t>
      </w:r>
    </w:p>
    <w:p>
      <w:pPr>
        <w:spacing w:line="240" w:lineRule="auto"/>
      </w:pPr>
      <w:r>
        <w:rPr>
          <w:rFonts w:hint="eastAsia" w:ascii="&quot;Times New Roman&quot;" w:hAnsi="&quot;Times New Roman&quot;" w:eastAsia="&quot;Times New Roman&quot;"/>
          <w:noProof/>
          <w:sz w:val="21"/>
        </w:rPr>
        <w:t>消防人员必须穿全身防火防毒服，佩戴空气呼吸器，在上风向灭火。尽可能将容器从火场移至空旷处。喷水保持火场容器冷却，直至灭火结束。处在火场中的容器若发生异常变化或发出异常声音，必须马上撤离灭火剂：雾状水、抗溶性泡沫、二氧化碳、干粉、砂土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6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泄露应急处理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作业人员防护措施、防护装备和应急处置程序：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消除所有点火源。根据液体流动和蒸气扩散的影响区域划定警戒区，无关人员从侧风、上风向撤离至安全区。建议应急处理人员戴正压自给式呼吸器，穿防静电服。作业时使用的所有设备应接地。禁止接触或跨越泄漏物。尽可能切断泄漏源。防止泄漏物进入水体、下水道、地下室或限制性空间。小量泄漏：用砂土或其他不燃材料吸收。使用洁净的无火花工具收集吸收材料。大量泄漏：构筑围堤或挖坑收容。用砂土、惰性物质和蛭石吸收大量液体。用抗溶性泡沫覆盖，减少蒸发。喷水雾能减少蒸发，但不能降低泄漏物在限制性空间内的易燃性。用防爆泵转移至槽车或专用收集器内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环境保护措施：</w:t>
      </w:r>
      <w:r>
        <w:rPr>
          <w:rFonts w:hint="eastAsia" w:ascii="Times New Roman" w:hAnsi="Times New Roman" w:eastAsia="Times New Roman"/>
          <w:noProof/>
          <w:sz w:val="21"/>
        </w:rPr>
        <w:t>收容泄漏物，避免污染环境。防止泄漏物进入下水道、地表水和地下水。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泄漏化学品的收容、清除方法及所使用的处置材料：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小量泄漏：尽可能将泄漏液体收集在可密闭的容器中。用沙土、活性炭或其它惰性材料吸收，并转移至安全场所。禁止冲入下水道。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大量泄漏：构筑围堤或挖坑收容。封闭排水管道。用泡沫覆盖，抑制蒸发。用防爆泵转移至槽车或专用收集器内，回收或运至废物处理场所处置。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7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操作处置与储存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操作注意事项：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禁止明火，禁止火花和禁止吸烟。高于</w:t>
      </w:r>
      <w:r>
        <w:rPr>
          <w:rFonts w:hint="eastAsia" w:ascii="Times New Roman" w:hAnsi="Times New Roman" w:eastAsia="Times New Roman"/>
          <w:noProof/>
          <w:sz w:val="21"/>
        </w:rPr>
        <w:t>29℃</w:t>
      </w:r>
      <w:r>
        <w:rPr>
          <w:rFonts w:hint="eastAsia" w:ascii="Times New Roman" w:hAnsi="Times New Roman" w:eastAsia="Times New Roman"/>
          <w:noProof/>
          <w:sz w:val="21"/>
        </w:rPr>
        <w:t>，使用密闭系统、通风和防爆型电气设备。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操作人员应经过专门培训，严格遵守操作规程。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操作处置应在具备局部通风或全面通风换气设施的场所进行。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避免眼和皮肤的接触，避免吸入蒸汽。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个体防护措施参见第</w:t>
      </w:r>
      <w:r>
        <w:rPr>
          <w:rFonts w:hint="eastAsia" w:ascii="Times New Roman" w:hAnsi="Times New Roman" w:eastAsia="Times New Roman"/>
          <w:noProof/>
          <w:sz w:val="21"/>
        </w:rPr>
        <w:t>8</w:t>
      </w:r>
      <w:r>
        <w:rPr>
          <w:rFonts w:hint="eastAsia" w:ascii="Times New Roman" w:hAnsi="Times New Roman" w:eastAsia="Times New Roman"/>
          <w:noProof/>
          <w:sz w:val="21"/>
        </w:rPr>
        <w:t>部分。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远离火种、热源，工作场所严禁吸烟。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使用防爆型的通风系统和设备。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如需罐装，应控制流速，且有接地装置，防止静电积聚。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避免与氧化剂等禁配物接触（禁配物参见第</w:t>
      </w:r>
      <w:r>
        <w:rPr>
          <w:rFonts w:hint="eastAsia" w:ascii="Times New Roman" w:hAnsi="Times New Roman" w:eastAsia="Times New Roman"/>
          <w:noProof/>
          <w:sz w:val="21"/>
        </w:rPr>
        <w:t>10</w:t>
      </w:r>
      <w:r>
        <w:rPr>
          <w:rFonts w:hint="eastAsia" w:ascii="Times New Roman" w:hAnsi="Times New Roman" w:eastAsia="Times New Roman"/>
          <w:noProof/>
          <w:sz w:val="21"/>
        </w:rPr>
        <w:t>部分）。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搬运时要轻装轻卸，防止包装及容器损坏。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倒空的容器可能残留有害物。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使用后洗手，禁止在工作场所进饮食。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配备相应品种和数量的消防器材及泄漏应急处理设备。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储存注意事项：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耐火设备（条件）。与强氧化剂、铝分开存放。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8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接触控制</w:t>
      </w:r>
      <w:r>
        <w:rPr>
          <w:rFonts w:hint="eastAsia" w:ascii="Times New Roman" w:hAnsi="Times New Roman" w:eastAsia="Times New Roman"/>
          <w:b/>
          <w:noProof/>
          <w:sz w:val="21"/>
        </w:rPr>
        <w:t>/</w:t>
      </w:r>
      <w:r>
        <w:rPr>
          <w:rFonts w:hint="eastAsia" w:ascii="Times New Roman" w:hAnsi="Times New Roman" w:eastAsia="Times New Roman"/>
          <w:b/>
          <w:noProof/>
          <w:sz w:val="21"/>
        </w:rPr>
        <w:t>个体防护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职业接触限值：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中国：</w:t>
      </w:r>
      <w:r>
        <w:rPr>
          <w:rFonts w:hint="eastAsia" w:ascii="Times New Roman" w:hAnsi="Times New Roman" w:eastAsia="Times New Roman"/>
          <w:noProof/>
          <w:sz w:val="21"/>
        </w:rPr>
        <w:t>PC-TWA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100mg/m3</w:t>
      </w:r>
      <w:r>
        <w:rPr>
          <w:rFonts w:hint="eastAsia" w:ascii="Times New Roman" w:hAnsi="Times New Roman" w:eastAsia="Times New Roman"/>
          <w:noProof/>
          <w:sz w:val="21"/>
        </w:rPr>
        <w:t>美国（</w:t>
      </w:r>
      <w:r>
        <w:rPr>
          <w:rFonts w:hint="eastAsia" w:ascii="Times New Roman" w:hAnsi="Times New Roman" w:eastAsia="Times New Roman"/>
          <w:noProof/>
          <w:sz w:val="21"/>
        </w:rPr>
        <w:t>ACGIH</w:t>
      </w:r>
      <w:r>
        <w:rPr>
          <w:rFonts w:hint="eastAsia" w:ascii="Times New Roman" w:hAnsi="Times New Roman" w:eastAsia="Times New Roman"/>
          <w:noProof/>
          <w:sz w:val="21"/>
        </w:rPr>
        <w:t>）：</w:t>
      </w:r>
      <w:r>
        <w:rPr>
          <w:rFonts w:hint="eastAsia" w:ascii="Times New Roman" w:hAnsi="Times New Roman" w:eastAsia="Times New Roman"/>
          <w:noProof/>
          <w:sz w:val="21"/>
        </w:rPr>
        <w:t>TLV-TWA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20ppm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生物限制：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监测方法：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GBZ/T160.1~GBZ/T160.81-2004</w:t>
      </w:r>
      <w:r>
        <w:rPr>
          <w:rFonts w:hint="eastAsia" w:ascii="Times New Roman" w:hAnsi="Times New Roman" w:eastAsia="Times New Roman"/>
          <w:noProof/>
          <w:sz w:val="21"/>
        </w:rPr>
        <w:t>工作场所空气有毒物质测定（系列标准）</w:t>
      </w:r>
      <w:r>
        <w:rPr>
          <w:rFonts w:hint="eastAsia" w:ascii="Times New Roman" w:hAnsi="Times New Roman" w:eastAsia="Times New Roman"/>
          <w:noProof/>
          <w:sz w:val="21"/>
        </w:rPr>
        <w:t>,EN14042</w:t>
      </w:r>
      <w:r>
        <w:rPr>
          <w:rFonts w:hint="eastAsia" w:ascii="Times New Roman" w:hAnsi="Times New Roman" w:eastAsia="Times New Roman"/>
          <w:noProof/>
          <w:sz w:val="21"/>
        </w:rPr>
        <w:t>工作场所空气用于评估暴露于化学或生物试剂的程序指南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工程控制：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作业场所建议与其它作业场所分开。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密闭操作，防止泄漏。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加强通风。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设置自动报警装置和事故通风设施。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设置应急撤离通道和必要的泻险区。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设置红色区域警示线、警示标识和中文警示说明，并设置通讯报警系统。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提供安全淋浴和洗眼设备。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个体防护装备：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呼吸系统防护：通风，局部排气通风或呼吸防护。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手防护：防护手套。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眼睛防护：安全护目镜。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皮肤和身体防护：穿防毒物渗透工作服。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9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理化特性</w:t>
      </w:r>
    </w:p>
    <w:tbl>
      <w:tblPr>
        <w:tblW w:w="5000" w:type="pct"/>
        <w:jc w:val="center"/>
      </w:tblPr>
      <w:tblGrid>
        <w:gridCol w:w="4680"/>
        <w:gridCol w:w="4950"/>
      </w:tblGrid>
      <w:tr>
        <w:trPr/>
        <w:tc>
          <w:tcPr>
            <w:cnfStyle w:val="001000000000"/>
            <w:tcW w:w="468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外观与性状：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无色透明液体</w:t>
            </w:r>
          </w:p>
        </w:tc>
        <w:tc>
          <w:tcPr>
            <w:cnfStyle w:val="001000000000"/>
            <w:tcW w:w="4950" w:type="dxa"/>
            <w:tcBorders>
              <w:top w:val="single" w:color="000000" w:sz="6"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气味：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有特殊气味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pH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值：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无资料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熔点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/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凝固点（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°C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-89.8℃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沸点、初沸点和沸程（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°C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117.7℃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自燃温度（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°C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355°C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。气压：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1019hPa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。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闪点（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°C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35°C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。气压：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1013hPa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。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分解温度（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°C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无资料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爆炸极限［％（体积分数）］：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空气中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1.4%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～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11.3%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（体积）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蒸发速率［乙酸（正）丁酯以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1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计］：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无资料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饱合蒸气压（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kPa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0.96kPa(25℃)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，燃烧热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-2673.2kJ/mol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易燃性（固体、气体）：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无资料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相对密度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(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水以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1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计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)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0.81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蒸气密度（空气以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1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计）：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2.55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气味阈值（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mg/m³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无资料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n-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辛醇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/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水分配系数（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lgP</w:t>
            </w: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）：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0.88</w:t>
            </w:r>
          </w:p>
        </w:tc>
      </w:tr>
      <w:tr>
        <w:trPr/>
        <w:tc>
          <w:tcPr>
            <w:cnfStyle w:val="001000000000"/>
            <w:tcW w:w="4680" w:type="dxa"/>
            <w:tcBorders>
              <w:top/>
              <w:left w:val="single" w:color="000000" w:sz="6"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溶解性：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微溶于水，溶于乙醇、乙醚、苯等多数有机溶剂</w:t>
            </w:r>
          </w:p>
        </w:tc>
        <w:tc>
          <w:tcPr>
            <w:cnfStyle w:val="001000000000"/>
            <w:tcW w:w="4950" w:type="dxa"/>
            <w:tcBorders>
              <w:top/>
              <w:left/>
              <w:bottom w:val="single" w:color="000000" w:sz="6"/>
              <w:right w:val="single" w:color="000000" w:sz="6"/>
            </w:tcBorders>
            <w:vAlign w:val="top"/>
          </w:tcPr>
          <w:p>
            <w:pPr>
              <w:spacing w:line="240" w:lineRule="auto"/>
              <w:jc w:val="left"/>
            </w:pPr>
            <w:r>
              <w:rPr>
                <w:rFonts w:hint="eastAsia" w:ascii="Times New Roman" w:hAnsi="Times New Roman" w:eastAsia="Times New Roman"/>
                <w:b/>
                <w:noProof/>
                <w:sz w:val="21"/>
              </w:rPr>
              <w:t>黏度：</w:t>
            </w:r>
            <w:r>
              <w:rPr>
                <w:rFonts w:hint="eastAsia" w:ascii="Times New Roman" w:hAnsi="Times New Roman" w:eastAsia="Times New Roman"/>
                <w:noProof/>
                <w:sz w:val="21"/>
              </w:rPr>
              <w:t>无资料</w:t>
            </w:r>
          </w:p>
        </w:tc>
      </w:tr>
    </w:tbl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10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稳定性和反应性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稳定性：</w:t>
      </w:r>
      <w:r>
        <w:rPr>
          <w:rFonts w:hint="eastAsia" w:ascii="Times New Roman" w:hAnsi="Times New Roman" w:eastAsia="Times New Roman"/>
          <w:noProof/>
          <w:sz w:val="21"/>
        </w:rPr>
        <w:t>正常环境温度下储存和使用，本品稳定。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危险反应：</w:t>
      </w:r>
      <w:r>
        <w:rPr>
          <w:rFonts w:hint="eastAsia" w:ascii="Times New Roman" w:hAnsi="Times New Roman" w:eastAsia="Times New Roman"/>
          <w:noProof/>
          <w:sz w:val="21"/>
        </w:rPr>
        <w:t>与浓硫酸、过氧化氢等强氧化剂反应，放出大量热量，甚至会发生爆炸。与次氯酸的水溶液或四氯化碳溶液反应，生成的次氯酸丁酯易发生爆炸。与氯气反应也易生成次氯酸丁酯，低温下发生分解反应，受热或光照下易发生爆炸。与无机含氧酸和有机酸反应生成酯。乙酰溴能与正丁醇的水溶液剧烈反应，生成酯。能溶解多种塑料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避免接触的条件：</w:t>
      </w:r>
      <w:r>
        <w:rPr>
          <w:rFonts w:hint="eastAsia" w:ascii="Times New Roman" w:hAnsi="Times New Roman" w:eastAsia="Times New Roman"/>
          <w:noProof/>
          <w:sz w:val="21"/>
        </w:rPr>
        <w:t>静电放电、热、潮湿等。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禁配物：</w:t>
      </w:r>
      <w:r>
        <w:rPr>
          <w:rFonts w:hint="eastAsia" w:ascii="Times New Roman" w:hAnsi="Times New Roman" w:eastAsia="Times New Roman"/>
          <w:noProof/>
          <w:sz w:val="21"/>
        </w:rPr>
        <w:t>强酸、强氧化剂、酰基氯、酸酐等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危险的分解产物：</w:t>
      </w: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11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毒理学信息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急性毒性：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皮肤刺激或腐蚀</w:t>
      </w:r>
      <w:r>
        <w:rPr>
          <w:rFonts w:hint="eastAsia" w:ascii="Times New Roman" w:hAnsi="Times New Roman" w:eastAsia="Times New Roman"/>
          <w:b/>
          <w:noProof/>
          <w:sz w:val="21"/>
        </w:rPr>
        <w:t>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眼睛刺激或腐蚀：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呼吸或皮肤过敏：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生殖细胞突变性：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致癌性：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生殖毒性：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特异性靶器官系统毒性</w:t>
      </w:r>
      <w:r>
        <w:rPr>
          <w:rFonts w:hint="eastAsia" w:ascii="Times New Roman" w:hAnsi="Times New Roman" w:eastAsia="Times New Roman"/>
          <w:b/>
          <w:noProof/>
          <w:sz w:val="21"/>
        </w:rPr>
        <w:t>——</w:t>
      </w:r>
      <w:r>
        <w:rPr>
          <w:rFonts w:hint="eastAsia" w:ascii="Times New Roman" w:hAnsi="Times New Roman" w:eastAsia="Times New Roman"/>
          <w:b/>
          <w:noProof/>
          <w:sz w:val="21"/>
        </w:rPr>
        <w:t>一次接触：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该物质刺激皮肤，严重刺激眼睛。蒸气刺激眼睛和呼吸道。远高于职业接触限值接触能够造成意识降低。如果吞咽的液体吸入肺中，可能引起化学肺炎。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特异性靶器官系统毒性</w:t>
      </w:r>
      <w:r>
        <w:rPr>
          <w:rFonts w:hint="eastAsia" w:ascii="Times New Roman" w:hAnsi="Times New Roman" w:eastAsia="Times New Roman"/>
          <w:b/>
          <w:noProof/>
          <w:sz w:val="21"/>
        </w:rPr>
        <w:t>——</w:t>
      </w:r>
      <w:r>
        <w:rPr>
          <w:rFonts w:hint="eastAsia" w:ascii="Times New Roman" w:hAnsi="Times New Roman" w:eastAsia="Times New Roman"/>
          <w:b/>
          <w:noProof/>
          <w:sz w:val="21"/>
        </w:rPr>
        <w:t>反复接触：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液体使皮肤脱脂。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吸入危害：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20℃</w:t>
      </w:r>
      <w:r>
        <w:rPr>
          <w:rFonts w:hint="eastAsia" w:ascii="Times New Roman" w:hAnsi="Times New Roman" w:eastAsia="Times New Roman"/>
          <w:noProof/>
          <w:sz w:val="21"/>
        </w:rPr>
        <w:t>时，该物质蒸发相当慢地达到空气中有害污染浓度。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12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生态学信息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生态毒性：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持久性和降解性：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生物富集或生物积累性：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土壤中的迁移性：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无资料。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13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废弃处置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废弃化学品：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尽可能回收利用。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如果不能回收利用，采用焚烧方法进行处置。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不得采用排放到下水道的方式废弃处置本品。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污染包装物：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将容器返还生产商或按照国家和地方法规处置。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废弃注意事项：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废弃处置前应参阅国家和地方有关法规。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处置人员的安全防范措施参见第</w:t>
      </w:r>
      <w:r>
        <w:rPr>
          <w:rFonts w:hint="eastAsia" w:ascii="Times New Roman" w:hAnsi="Times New Roman" w:eastAsia="Times New Roman"/>
          <w:noProof/>
          <w:sz w:val="21"/>
        </w:rPr>
        <w:t>8</w:t>
      </w:r>
      <w:r>
        <w:rPr>
          <w:rFonts w:hint="eastAsia" w:ascii="Times New Roman" w:hAnsi="Times New Roman" w:eastAsia="Times New Roman"/>
          <w:noProof/>
          <w:sz w:val="21"/>
        </w:rPr>
        <w:t>部分。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14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运输信息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联合国编号危险货物编号</w:t>
      </w:r>
      <w:r>
        <w:rPr>
          <w:rFonts w:hint="eastAsia" w:ascii="Times New Roman" w:hAnsi="Times New Roman" w:eastAsia="Times New Roman"/>
          <w:b/>
          <w:noProof/>
          <w:sz w:val="21"/>
        </w:rPr>
        <w:t>(UN</w:t>
      </w:r>
      <w:r>
        <w:rPr>
          <w:rFonts w:hint="eastAsia" w:ascii="Times New Roman" w:hAnsi="Times New Roman" w:eastAsia="Times New Roman"/>
          <w:b/>
          <w:noProof/>
          <w:sz w:val="21"/>
        </w:rPr>
        <w:t>号</w:t>
      </w:r>
      <w:r>
        <w:rPr>
          <w:rFonts w:hint="eastAsia" w:ascii="Times New Roman" w:hAnsi="Times New Roman" w:eastAsia="Times New Roman"/>
          <w:b/>
          <w:noProof/>
          <w:sz w:val="21"/>
        </w:rPr>
        <w:t>)</w:t>
      </w:r>
      <w:r>
        <w:rPr>
          <w:rFonts w:hint="eastAsia" w:ascii="Times New Roman" w:hAnsi="Times New Roman" w:eastAsia="Times New Roman"/>
          <w:b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UN1120</w:t>
      </w:r>
      <w:r>
        <w:rPr>
          <w:rFonts w:hint="eastAsia" w:ascii="Times New Roman" w:hAnsi="Times New Roman" w:eastAsia="Times New Roman"/>
          <w:noProof/>
          <w:sz w:val="21"/>
        </w:rPr>
        <w:t>（仅供参考，请核实）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联合国运输名称：</w:t>
      </w:r>
      <w:r>
        <w:rPr>
          <w:rFonts w:hint="eastAsia" w:ascii="Times New Roman" w:hAnsi="Times New Roman" w:eastAsia="Times New Roman"/>
          <w:noProof/>
          <w:sz w:val="21"/>
        </w:rPr>
        <w:t>丁醇（仅供参考，请核实）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联合国危险性分类：</w:t>
      </w:r>
      <w:r>
        <w:rPr>
          <w:rFonts w:hint="eastAsia" w:ascii="Times New Roman" w:hAnsi="Times New Roman" w:eastAsia="Times New Roman"/>
          <w:noProof/>
          <w:sz w:val="21"/>
        </w:rPr>
        <w:t>3</w:t>
      </w:r>
      <w:r>
        <w:rPr>
          <w:rFonts w:hint="eastAsia" w:ascii="Times New Roman" w:hAnsi="Times New Roman" w:eastAsia="Times New Roman"/>
          <w:noProof/>
          <w:sz w:val="21"/>
        </w:rPr>
        <w:t>（仅供参考，请核实）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包装类别：</w:t>
      </w:r>
      <w:r>
        <w:rPr>
          <w:rFonts w:hint="eastAsia" w:ascii="Times New Roman" w:hAnsi="Times New Roman" w:eastAsia="Times New Roman"/>
          <w:noProof/>
          <w:sz w:val="21"/>
        </w:rPr>
        <w:t>Ⅱ</w:t>
      </w:r>
      <w:r>
        <w:rPr>
          <w:rFonts w:hint="eastAsia" w:ascii="Times New Roman" w:hAnsi="Times New Roman" w:eastAsia="Times New Roman"/>
          <w:noProof/>
          <w:sz w:val="21"/>
        </w:rPr>
        <w:t>（仅供参考，请核实）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包装方法：</w:t>
      </w:r>
      <w:r>
        <w:rPr>
          <w:rFonts w:hint="eastAsia" w:ascii="Times New Roman" w:hAnsi="Times New Roman" w:eastAsia="Times New Roman"/>
          <w:noProof/>
          <w:sz w:val="21"/>
        </w:rPr>
        <w:t>按照生产商推荐的方法进行包装，例如：开口钢桶。安瓿瓶外普通木箱。螺纹口玻璃瓶、铁盖压口玻璃瓶、塑料瓶或金属桶（罐）外普通木箱等。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海洋污染物</w:t>
      </w:r>
      <w:r>
        <w:rPr>
          <w:rFonts w:hint="eastAsia" w:ascii="Times New Roman" w:hAnsi="Times New Roman" w:eastAsia="Times New Roman"/>
          <w:b/>
          <w:noProof/>
          <w:sz w:val="21"/>
        </w:rPr>
        <w:t>(</w:t>
      </w:r>
      <w:r>
        <w:rPr>
          <w:rFonts w:hint="eastAsia" w:ascii="Times New Roman" w:hAnsi="Times New Roman" w:eastAsia="Times New Roman"/>
          <w:b/>
          <w:noProof/>
          <w:sz w:val="21"/>
        </w:rPr>
        <w:t>是</w:t>
      </w:r>
      <w:r>
        <w:rPr>
          <w:rFonts w:hint="eastAsia" w:ascii="Times New Roman" w:hAnsi="Times New Roman" w:eastAsia="Times New Roman"/>
          <w:b/>
          <w:noProof/>
          <w:sz w:val="21"/>
        </w:rPr>
        <w:t>/</w:t>
      </w:r>
      <w:r>
        <w:rPr>
          <w:rFonts w:hint="eastAsia" w:ascii="Times New Roman" w:hAnsi="Times New Roman" w:eastAsia="Times New Roman"/>
          <w:b/>
          <w:noProof/>
          <w:sz w:val="21"/>
        </w:rPr>
        <w:t>否</w:t>
      </w:r>
      <w:r>
        <w:rPr>
          <w:rFonts w:hint="eastAsia" w:ascii="Times New Roman" w:hAnsi="Times New Roman" w:eastAsia="Times New Roman"/>
          <w:b/>
          <w:noProof/>
          <w:sz w:val="21"/>
        </w:rPr>
        <w:t>)</w:t>
      </w:r>
      <w:r>
        <w:rPr>
          <w:rFonts w:hint="eastAsia" w:ascii="Times New Roman" w:hAnsi="Times New Roman" w:eastAsia="Times New Roman"/>
          <w:b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否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运输注意事项：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运输车辆应配备相应品种和数量的消防器材及泄漏应急处理设备。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严禁与氧化剂、食用化学品等混装混运。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装运该物品的车辆排气管必须配备阻火装置。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使用槽</w:t>
      </w:r>
      <w:r>
        <w:rPr>
          <w:rFonts w:hint="eastAsia" w:ascii="Times New Roman" w:hAnsi="Times New Roman" w:eastAsia="Times New Roman"/>
          <w:noProof/>
          <w:sz w:val="21"/>
        </w:rPr>
        <w:t>(</w:t>
      </w:r>
      <w:r>
        <w:rPr>
          <w:rFonts w:hint="eastAsia" w:ascii="Times New Roman" w:hAnsi="Times New Roman" w:eastAsia="Times New Roman"/>
          <w:noProof/>
          <w:sz w:val="21"/>
        </w:rPr>
        <w:t>罐</w:t>
      </w:r>
      <w:r>
        <w:rPr>
          <w:rFonts w:hint="eastAsia" w:ascii="Times New Roman" w:hAnsi="Times New Roman" w:eastAsia="Times New Roman"/>
          <w:noProof/>
          <w:sz w:val="21"/>
        </w:rPr>
        <w:t>)</w:t>
      </w:r>
      <w:r>
        <w:rPr>
          <w:rFonts w:hint="eastAsia" w:ascii="Times New Roman" w:hAnsi="Times New Roman" w:eastAsia="Times New Roman"/>
          <w:noProof/>
          <w:sz w:val="21"/>
        </w:rPr>
        <w:t>车运输时应有接地链，槽内可设孔隔板以减少震荡产生静电。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禁止使用易产生火花的机械设备和工具装卸。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夏季最好早晚运输。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运输途中应防暴晒、雨淋，防高温。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中途停留时应远离火种、热源、高温区。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公路运输时要按规定路线行驶，勿在居民区和人口稠密区停留。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铁路运输时要禁止溜放。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严禁用木船、水泥船散装运输。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运输工具上应根据相关运输要求张贴危险标志、公告。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15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法规信息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下列法律、法规、规章和标准，对该化学品的管理作相应的规定</w:t>
      </w:r>
      <w:r>
        <w:rPr>
          <w:rFonts w:hint="eastAsia" w:ascii="Times New Roman" w:hAnsi="Times New Roman" w:eastAsia="Times New Roman"/>
          <w:noProof/>
          <w:sz w:val="21"/>
        </w:rPr>
        <w:t>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中华人民共和国职业病防止法：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职业病危害因素分类目录</w:t>
      </w:r>
      <w:r>
        <w:rPr>
          <w:rFonts w:hint="eastAsia" w:ascii="Times New Roman" w:hAnsi="Times New Roman" w:eastAsia="Times New Roman"/>
          <w:noProof/>
          <w:sz w:val="21"/>
        </w:rPr>
        <w:t>(2015)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危险化学品安全管理条例：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危险品化学品目录（</w:t>
      </w:r>
      <w:r>
        <w:rPr>
          <w:rFonts w:hint="eastAsia" w:ascii="Times New Roman" w:hAnsi="Times New Roman" w:eastAsia="Times New Roman"/>
          <w:noProof/>
          <w:sz w:val="21"/>
        </w:rPr>
        <w:t>2015</w:t>
      </w:r>
      <w:r>
        <w:rPr>
          <w:rFonts w:hint="eastAsia" w:ascii="Times New Roman" w:hAnsi="Times New Roman" w:eastAsia="Times New Roman"/>
          <w:noProof/>
          <w:sz w:val="21"/>
        </w:rPr>
        <w:t>）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易制爆危险化学品名录（</w:t>
      </w:r>
      <w:r>
        <w:rPr>
          <w:rFonts w:hint="eastAsia" w:ascii="Times New Roman" w:hAnsi="Times New Roman" w:eastAsia="Times New Roman"/>
          <w:noProof/>
          <w:sz w:val="21"/>
        </w:rPr>
        <w:t>2017</w:t>
      </w:r>
      <w:r>
        <w:rPr>
          <w:rFonts w:hint="eastAsia" w:ascii="Times New Roman" w:hAnsi="Times New Roman" w:eastAsia="Times New Roman"/>
          <w:noProof/>
          <w:sz w:val="21"/>
        </w:rPr>
        <w:t>）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未列入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重点监管的危险化学品名录：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首批和第二批重点监管的危险化学品名录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未列入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危险化学品环境管理登记办法（试行）：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重点环境管理危险化学品目录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未列入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麻醉药品和精神药品管理条例：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麻醉药品品种目录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未列入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精神药品品种目录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未列入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新化学物质环境管理办法：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中国现有化学物质名录</w:t>
      </w:r>
      <w:r>
        <w:rPr>
          <w:rFonts w:hint="eastAsia" w:ascii="Times New Roman" w:hAnsi="Times New Roman" w:eastAsia="Times New Roman"/>
          <w:noProof/>
          <w:sz w:val="21"/>
        </w:rPr>
        <w:t>(2013)</w:t>
      </w:r>
      <w:r>
        <w:rPr>
          <w:rFonts w:hint="eastAsia" w:ascii="Times New Roman" w:hAnsi="Times New Roman" w:eastAsia="Times New Roman"/>
          <w:noProof/>
          <w:sz w:val="21"/>
        </w:rPr>
        <w:t>：</w:t>
      </w:r>
      <w:r>
        <w:rPr>
          <w:rFonts w:hint="eastAsia" w:ascii="Times New Roman" w:hAnsi="Times New Roman" w:eastAsia="Times New Roman"/>
          <w:noProof/>
          <w:sz w:val="21"/>
        </w:rPr>
        <w:t>列入</w:t>
      </w:r>
    </w:p>
    <w:p>
      <w:pPr>
        <w:spacing w:beforeLines="50" w:afterLines="50" w:line="240" w:lineRule="auto"/>
        <w:jc w:val="center"/>
      </w:pPr>
      <w:r>
        <w:rPr>
          <w:rFonts w:hint="eastAsia" w:ascii="Times New Roman" w:hAnsi="Times New Roman" w:eastAsia="Times New Roman"/>
          <w:b/>
          <w:noProof/>
          <w:sz w:val="21"/>
        </w:rPr>
        <w:t>第</w:t>
      </w:r>
      <w:r>
        <w:rPr>
          <w:rFonts w:hint="eastAsia" w:ascii="Times New Roman" w:hAnsi="Times New Roman" w:eastAsia="Times New Roman"/>
          <w:b/>
          <w:noProof/>
          <w:sz w:val="21"/>
        </w:rPr>
        <w:t>16</w:t>
      </w:r>
      <w:r>
        <w:rPr>
          <w:rFonts w:hint="eastAsia" w:ascii="Times New Roman" w:hAnsi="Times New Roman" w:eastAsia="Times New Roman"/>
          <w:b/>
          <w:noProof/>
          <w:sz w:val="21"/>
        </w:rPr>
        <w:t>部分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 </w:t>
      </w:r>
      <w:r>
        <w:rPr>
          <w:rFonts w:hint="eastAsia" w:ascii="Times New Roman" w:hAnsi="Times New Roman" w:eastAsia="Times New Roman"/>
          <w:b/>
          <w:noProof/>
          <w:sz w:val="21"/>
        </w:rPr>
        <w:t>其他信息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b/>
          <w:noProof/>
          <w:sz w:val="21"/>
        </w:rPr>
        <w:t>编写和修订信息：</w:t>
      </w:r>
    </w:p>
    <w:p>
      <w:pPr>
        <w:spacing w:line="240" w:lineRule="auto"/>
        <w:jc w:val="left"/>
      </w:pPr>
      <w:r>
        <w:rPr>
          <w:rFonts w:hint="eastAsia" w:ascii="Times New Roman" w:hAnsi="Times New Roman" w:eastAsia="Times New Roman"/>
          <w:noProof/>
          <w:sz w:val="21"/>
        </w:rPr>
        <w:t>本版为第</w:t>
      </w:r>
      <w:r>
        <w:rPr>
          <w:rFonts w:hint="eastAsia" w:ascii="Times New Roman" w:hAnsi="Times New Roman" w:eastAsia="Times New Roman"/>
          <w:noProof/>
          <w:sz w:val="21"/>
        </w:rPr>
        <w:t>1.0</w:t>
      </w:r>
      <w:r>
        <w:rPr>
          <w:rFonts w:hint="eastAsia" w:ascii="Times New Roman" w:hAnsi="Times New Roman" w:eastAsia="Times New Roman"/>
          <w:noProof/>
          <w:sz w:val="21"/>
        </w:rPr>
        <w:t>版，按照</w:t>
      </w:r>
      <w:r>
        <w:rPr>
          <w:rFonts w:hint="eastAsia" w:ascii="Times New Roman" w:hAnsi="Times New Roman" w:eastAsia="Times New Roman"/>
          <w:noProof/>
          <w:sz w:val="21"/>
        </w:rPr>
        <w:t>GB/T16483-2008</w:t>
      </w:r>
      <w:r>
        <w:rPr>
          <w:rFonts w:hint="eastAsia" w:ascii="Times New Roman" w:hAnsi="Times New Roman" w:eastAsia="Times New Roman"/>
          <w:noProof/>
          <w:sz w:val="21"/>
        </w:rPr>
        <w:t>、</w:t>
      </w:r>
      <w:r>
        <w:rPr>
          <w:rFonts w:hint="eastAsia" w:ascii="Times New Roman" w:hAnsi="Times New Roman" w:eastAsia="Times New Roman"/>
          <w:noProof/>
          <w:sz w:val="21"/>
        </w:rPr>
        <w:t>GB/T17519-2013</w:t>
      </w:r>
      <w:r>
        <w:rPr>
          <w:rFonts w:hint="eastAsia" w:ascii="Times New Roman" w:hAnsi="Times New Roman" w:eastAsia="Times New Roman"/>
          <w:noProof/>
          <w:sz w:val="21"/>
        </w:rPr>
        <w:t>、</w:t>
      </w:r>
      <w:r>
        <w:rPr>
          <w:rFonts w:hint="eastAsia" w:ascii="Times New Roman" w:hAnsi="Times New Roman" w:eastAsia="Times New Roman"/>
          <w:noProof/>
          <w:sz w:val="21"/>
        </w:rPr>
        <w:t>GB30000</w:t>
      </w:r>
      <w:r>
        <w:rPr>
          <w:rFonts w:hint="eastAsia" w:ascii="Times New Roman" w:hAnsi="Times New Roman" w:eastAsia="Times New Roman"/>
          <w:noProof/>
          <w:sz w:val="21"/>
        </w:rPr>
        <w:t>系列分类标准编制。</w:t>
      </w:r>
    </w:p>
    <w:p>
      <w:pPr>
        <w:spacing w:line="240" w:lineRule="auto"/>
      </w:pPr>
    </w:p>
    <w:sectPr>
      <w:type w:val="nextPage"/>
      <w:pgSz w:w="11910" w:h="16845" w:orient="portrait"/>
      <w:pgMar w:top="1140" w:right="1140" w:bottom="1140" w:left="1140" w:header="855" w:footer="990" w:gutter="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    <Relationship Target="media/document_image_rId5.png" Type="http://schemas.openxmlformats.org/officeDocument/2006/relationships/image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/>
  <properties:Application/>
  <properties:AppVersion>1.1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cp:lastModifiedBy/>
</cp:coreProperties>
</file>