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5.gif"/>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8.2.8 (Apache licensed) using ORACLE_JRE JAXB in Oracle Java 1.8.0_45 on Linux -->
    <w:p>
      <w:pPr>
        <w:pStyle w:val="Heading1"/>
        <w:spacing w:line="240" w:lineRule="auto"/>
        <w:jc w:val="center"/>
      </w:pPr>
      <w:r>
        <w:rPr>
          <w:rFonts w:hint="eastAsia" w:ascii="SimSun, STSong" w:hAnsi="SimSun, STSong" w:eastAsia="SimSun, STSong"/>
          <w:b/>
          <w:noProof/>
          <w:sz w:val="21"/>
        </w:rPr>
        <w:t>第一部分    化学品及企业标识</w:t>
      </w:r>
    </w:p>
    <w:p>
      <w:pPr>
        <w:spacing w:line="240" w:lineRule="auto"/>
        <w:jc w:val="both"/>
      </w:pPr>
      <w:r>
        <w:rPr>
          <w:rFonts w:hint="eastAsia" w:ascii="&quot;Times New Roman&quot;" w:hAnsi="&quot;Times New Roman&quot;" w:eastAsia="&quot;Times New Roman&quot;"/>
          <w:b/>
          <w:noProof/>
          <w:sz w:val="21"/>
        </w:rPr>
        <w:t>化学品中文名：</w:t>
      </w:r>
      <w:r>
        <w:rPr>
          <w:rFonts w:hint="eastAsia" w:ascii="&quot;Times New Roman&quot;" w:hAnsi="&quot;Times New Roman&quot;" w:eastAsia="&quot;Times New Roman&quot;"/>
          <w:noProof/>
          <w:sz w:val="21"/>
        </w:rPr>
        <w:t>2-甲酚</w:t>
      </w:r>
    </w:p>
    <w:p>
      <w:pPr>
        <w:spacing w:line="240" w:lineRule="auto"/>
        <w:jc w:val="both"/>
      </w:pPr>
      <w:r>
        <w:rPr>
          <w:rFonts w:hint="eastAsia" w:ascii="&quot;Times New Roman&quot;" w:hAnsi="&quot;Times New Roman&quot;" w:eastAsia="&quot;Times New Roman&quot;"/>
          <w:b/>
          <w:noProof/>
          <w:sz w:val="21"/>
        </w:rPr>
        <w:t>化学品英文名：</w:t>
      </w:r>
      <w:r>
        <w:rPr>
          <w:rFonts w:hint="eastAsia" w:ascii="&quot;Times New Roman&quot;" w:hAnsi="&quot;Times New Roman&quot;" w:eastAsia="&quot;Times New Roman&quot;"/>
          <w:noProof/>
          <w:sz w:val="21"/>
        </w:rPr>
        <w:t>2-cresol；1- hydroxy-2- toluene；o-cresol</w:t>
      </w:r>
    </w:p>
    <w:p>
      <w:pPr>
        <w:spacing w:line="240" w:lineRule="auto"/>
        <w:jc w:val="both"/>
      </w:pPr>
      <w:r>
        <w:rPr>
          <w:rFonts w:hint="eastAsia" w:ascii="&quot;Times New Roman&quot;" w:hAnsi="&quot;Times New Roman&quot;" w:eastAsia="&quot;Times New Roman&quot;"/>
          <w:b/>
          <w:noProof/>
          <w:sz w:val="21"/>
        </w:rPr>
        <w:t>化学品别名：</w:t>
      </w:r>
      <w:r>
        <w:rPr>
          <w:rFonts w:hint="eastAsia" w:ascii="&quot;Times New Roman&quot;" w:hAnsi="&quot;Times New Roman&quot;" w:eastAsia="&quot;Times New Roman&quot;"/>
          <w:noProof/>
          <w:sz w:val="21"/>
        </w:rPr>
        <w:t>1-羟基-2-甲苯；邻甲酚</w:t>
      </w:r>
    </w:p>
    <w:p>
      <w:pPr>
        <w:spacing w:line="240" w:lineRule="auto"/>
        <w:jc w:val="both"/>
      </w:pPr>
      <w:r>
        <w:rPr>
          <w:rFonts w:hint="eastAsia" w:ascii="&quot;Times New Roman&quot;" w:hAnsi="&quot;Times New Roman&quot;" w:eastAsia="&quot;Times New Roman&quot;"/>
          <w:b/>
          <w:noProof/>
          <w:sz w:val="21"/>
        </w:rPr>
        <w:t>CAS No.：</w:t>
      </w:r>
      <w:r>
        <w:rPr>
          <w:rFonts w:hint="eastAsia" w:ascii="&quot;Times New Roman&quot;" w:hAnsi="&quot;Times New Roman&quot;" w:eastAsia="&quot;Times New Roman&quot;"/>
          <w:noProof/>
          <w:sz w:val="21"/>
        </w:rPr>
        <w:t>95-48-7</w:t>
      </w:r>
    </w:p>
    <w:p>
      <w:pPr>
        <w:spacing w:line="240" w:lineRule="auto"/>
        <w:jc w:val="both"/>
      </w:pPr>
      <w:r>
        <w:rPr>
          <w:rFonts w:hint="eastAsia" w:ascii="&quot;Times New Roman&quot;" w:hAnsi="&quot;Times New Roman&quot;" w:eastAsia="&quot;Times New Roman&quot;"/>
          <w:b/>
          <w:noProof/>
          <w:sz w:val="21"/>
        </w:rPr>
        <w:t>EC No.：</w:t>
      </w:r>
      <w:r>
        <w:rPr>
          <w:rFonts w:hint="eastAsia" w:ascii="&quot;Times New Roman&quot;" w:hAnsi="&quot;Times New Roman&quot;" w:eastAsia="&quot;Times New Roman&quot;"/>
          <w:noProof/>
          <w:sz w:val="21"/>
        </w:rPr>
        <w:t>202-423-8</w:t>
      </w:r>
    </w:p>
    <w:p>
      <w:pPr>
        <w:spacing w:line="240" w:lineRule="auto"/>
        <w:jc w:val="both"/>
      </w:pPr>
      <w:r>
        <w:rPr>
          <w:rFonts w:hint="eastAsia" w:ascii="&quot;Times New Roman&quot;" w:hAnsi="&quot;Times New Roman&quot;" w:eastAsia="&quot;Times New Roman&quot;"/>
          <w:b/>
          <w:noProof/>
          <w:sz w:val="21"/>
        </w:rPr>
        <w:t>分子式：</w:t>
      </w:r>
      <w:r>
        <w:rPr>
          <w:rFonts w:hint="eastAsia" w:ascii="&quot;Times New Roman&quot;" w:hAnsi="&quot;Times New Roman&quot;" w:eastAsia="&quot;Times New Roman&quot;"/>
          <w:noProof/>
          <w:sz w:val="21"/>
        </w:rPr>
        <w:t>C</w:t>
      </w:r>
      <w:r>
        <w:rPr>
          <w:rFonts w:hint="eastAsia" w:ascii="&quot;Times New Roman&quot;" w:hAnsi="&quot;Times New Roman&quot;" w:eastAsia="&quot;Times New Roman&quot;"/>
          <w:noProof/>
          <w:sz w:val="21"/>
        </w:rPr>
        <w:t>H</w:t>
      </w:r>
      <w:r>
        <w:rPr>
          <w:rFonts w:hint="eastAsia" w:ascii="&quot;Times New Roman&quot;" w:hAnsi="&quot;Times New Roman&quot;" w:eastAsia="&quot;Times New Roman&quot;"/>
          <w:noProof/>
          <w:sz w:val="21"/>
        </w:rPr>
        <w:t>O</w:t>
      </w:r>
    </w:p>
    <w:p>
      <w:pPr>
        <w:pStyle w:val="Heading1"/>
        <w:spacing w:line="240" w:lineRule="auto"/>
        <w:jc w:val="center"/>
      </w:pPr>
      <w:r>
        <w:rPr>
          <w:rFonts w:hint="eastAsia" w:ascii="SimSun, STSong" w:hAnsi="SimSun, STSong" w:eastAsia="SimSun, STSong"/>
          <w:b/>
          <w:noProof/>
          <w:sz w:val="21"/>
        </w:rPr>
        <w:t>第二部分    危险性概述</w:t>
      </w:r>
    </w:p>
    <w:p>
      <w:pPr>
        <w:pStyle w:val="Heading2"/>
        <w:spacing w:line="240" w:lineRule="auto"/>
        <w:jc w:val="both"/>
      </w:pPr>
      <w:r>
        <w:rPr>
          <w:rFonts w:hint="eastAsia" w:ascii="&quot;Times New Roman&quot;" w:hAnsi="&quot;Times New Roman&quot;" w:eastAsia="&quot;Times New Roman&quot;"/>
          <w:b/>
          <w:noProof/>
          <w:sz w:val="21"/>
        </w:rPr>
        <w:t>| 紧急情况概述</w:t>
      </w:r>
    </w:p>
    <w:p>
      <w:pPr>
        <w:spacing w:line="240" w:lineRule="auto"/>
        <w:jc w:val="both"/>
      </w:pPr>
      <w:r>
        <w:rPr>
          <w:rFonts w:hint="eastAsia" w:ascii="&quot;Times New Roman&quot;" w:hAnsi="&quot;Times New Roman&quot;" w:eastAsia="&quot;Times New Roman&quot;"/>
          <w:noProof/>
          <w:sz w:val="21"/>
        </w:rPr>
        <w:t>液体。吞食后有毒。跟皮肤接触有毒。会引起皮肤烧伤，有严重损害眼睛的危险。有严重损害眼睛的危险。对水生物有毒。</w:t>
      </w:r>
    </w:p>
    <w:p>
      <w:pPr>
        <w:pStyle w:val="Heading2"/>
        <w:spacing w:line="240" w:lineRule="auto"/>
        <w:jc w:val="both"/>
      </w:pPr>
      <w:r>
        <w:rPr>
          <w:rFonts w:hint="eastAsia" w:ascii="&quot;Times New Roman&quot;" w:hAnsi="&quot;Times New Roman&quot;" w:eastAsia="&quot;Times New Roman&quot;"/>
          <w:b/>
          <w:noProof/>
          <w:sz w:val="21"/>
        </w:rPr>
        <w:t>| GHS 危险性类别</w:t>
      </w:r>
    </w:p>
    <w:p>
      <w:pPr>
        <w:spacing w:line="240" w:lineRule="auto"/>
        <w:jc w:val="both"/>
      </w:pPr>
      <w:r>
        <w:rPr>
          <w:rFonts w:hint="eastAsia" w:ascii="&quot;Times New Roman&quot;" w:hAnsi="&quot;Times New Roman&quot;" w:eastAsia="&quot;Times New Roman&quot;"/>
          <w:noProof/>
          <w:sz w:val="21"/>
        </w:rPr>
        <w:t>根据《危险化学品分类信息表》（2015）危险性类别判定，该产品分类如下：急毒性-口服，类别3；急毒性-皮肤，类别3；皮肤腐蚀/刺激，类别1B；眼损伤/眼刺激，类别1；危害水生环境-急性毒性，类别2。</w:t>
      </w:r>
    </w:p>
    <w:p>
      <w:pPr>
        <w:pStyle w:val="Heading2"/>
        <w:spacing w:line="240" w:lineRule="auto"/>
        <w:jc w:val="both"/>
      </w:pPr>
      <w:r>
        <w:rPr>
          <w:rFonts w:hint="eastAsia" w:ascii="&quot;Times New Roman&quot;" w:hAnsi="&quot;Times New Roman&quot;" w:eastAsia="&quot;Times New Roman&quot;"/>
          <w:b/>
          <w:noProof/>
          <w:sz w:val="21"/>
        </w:rPr>
        <w:t>| 标签要素象形图</w:t>
      </w:r>
    </w:p>
    <w:p>
      <w:pPr>
        <w:spacing w:line="240" w:lineRule="auto"/>
        <w:jc w:val="both"/>
      </w:pPr>
      <w:r>
        <w:drawing>
          <wp:inline distT="0" distB="0" distL="0" distR="0">
            <wp:extent cx="723900" cy="1495425"/>
            <wp:effectExtent l="0" t="0" r="0" b="0"/>
            <wp:docPr id="1" name="" descr=""/>
            <wp:cNvGraphicFramePr>
              <a:graphicFrameLocks noChangeAspect="true"/>
            </wp:cNvGraphicFramePr>
            <a:graphic>
              <a:graphicData uri="http://schemas.openxmlformats.org/drawingml/2006/picture">
                <pic:pic>
                  <pic:nvPicPr>
                    <pic:cNvPr id="2" name=""/>
                    <pic:cNvPicPr/>
                  </pic:nvPicPr>
                  <pic:blipFill>
                    <a:blip r:embed="rId3"/>
                    <a:stretch>
                      <a:fillRect/>
                    </a:stretch>
                  </pic:blipFill>
                  <pic:spPr>
                    <a:xfrm>
                      <a:off x="0" y="0"/>
                      <a:ext cx="1514475" cy="1495425"/>
                    </a:xfrm>
                    <a:prstGeom prst="rect">
                      <a:avLst/>
                    </a:prstGeom>
                  </pic:spPr>
                </pic:pic>
              </a:graphicData>
            </a:graphic>
          </wp:inline>
        </w:drawing>
      </w:r>
      <w:r>
        <w:rPr>
          <w:rFonts w:hint="eastAsia"/>
          <w:noProof/>
        </w:rPr>
        <w:t> </w:t>
      </w:r>
      <w:r>
        <w:drawing>
          <wp:inline distT="0" distB="0" distL="0" distR="0">
            <wp:extent cx="723900" cy="1514475"/>
            <wp:effectExtent l="0" t="0" r="0" b="0"/>
            <wp:docPr id="3" name="" descr=""/>
            <wp:cNvGraphicFramePr>
              <a:graphicFrameLocks noChangeAspect="true"/>
            </wp:cNvGraphicFramePr>
            <a:graphic>
              <a:graphicData uri="http://schemas.openxmlformats.org/drawingml/2006/picture">
                <pic:pic>
                  <pic:nvPicPr>
                    <pic:cNvPr id="4" name=""/>
                    <pic:cNvPicPr/>
                  </pic:nvPicPr>
                  <pic:blipFill>
                    <a:blip r:embed="rId4"/>
                    <a:stretch>
                      <a:fillRect/>
                    </a:stretch>
                  </pic:blipFill>
                  <pic:spPr>
                    <a:xfrm>
                      <a:off x="0" y="0"/>
                      <a:ext cx="1514475" cy="1514475"/>
                    </a:xfrm>
                    <a:prstGeom prst="rect">
                      <a:avLst/>
                    </a:prstGeom>
                  </pic:spPr>
                </pic:pic>
              </a:graphicData>
            </a:graphic>
          </wp:inline>
        </w:drawing>
      </w:r>
    </w:p>
    <w:p>
      <w:pPr>
        <w:pStyle w:val="Heading2"/>
        <w:spacing w:line="240" w:lineRule="auto"/>
        <w:jc w:val="both"/>
      </w:pPr>
      <w:r>
        <w:rPr>
          <w:rFonts w:hint="eastAsia" w:ascii="&quot;Times New Roman&quot;" w:hAnsi="&quot;Times New Roman&quot;" w:eastAsia="&quot;Times New Roman&quot;"/>
          <w:b/>
          <w:noProof/>
          <w:sz w:val="21"/>
        </w:rPr>
        <w:t>警示词：危险</w:t>
      </w:r>
    </w:p>
    <w:p>
      <w:pPr>
        <w:spacing w:line="240" w:lineRule="auto"/>
        <w:jc w:val="both"/>
      </w:pPr>
      <w:r>
        <w:rPr>
          <w:rFonts w:hint="eastAsia" w:ascii="&quot;Times New Roman&quot;" w:hAnsi="&quot;Times New Roman&quot;" w:eastAsia="&quot;Times New Roman&quot;"/>
          <w:b/>
          <w:noProof/>
          <w:sz w:val="21"/>
        </w:rPr>
        <w:t>危险信息：</w:t>
      </w:r>
      <w:r>
        <w:rPr>
          <w:rFonts w:hint="eastAsia" w:ascii="&quot;Times New Roman&quot;" w:hAnsi="&quot;Times New Roman&quot;" w:eastAsia="&quot;Times New Roman&quot;"/>
          <w:noProof/>
          <w:sz w:val="21"/>
        </w:rPr>
        <w:t>吞咽会中毒，皮肤接触会中毒，造成严重皮肤灼伤和眼损伤，造成严重眼损伤，对水生生物有毒。</w:t>
      </w:r>
    </w:p>
    <w:p>
      <w:pPr>
        <w:spacing w:line="240" w:lineRule="auto"/>
        <w:jc w:val="both"/>
      </w:pPr>
      <w:r>
        <w:rPr>
          <w:rFonts w:hint="eastAsia" w:ascii="&quot;Times New Roman&quot;" w:hAnsi="&quot;Times New Roman&quot;" w:eastAsia="&quot;Times New Roman&quot;"/>
          <w:b/>
          <w:noProof/>
          <w:sz w:val="21"/>
        </w:rPr>
        <w:t>预防措施：</w:t>
      </w:r>
      <w:r>
        <w:rPr>
          <w:rFonts w:hint="eastAsia" w:ascii="&quot;Times New Roman&quot;" w:hAnsi="&quot;Times New Roman&quot;" w:eastAsia="&quot;Times New Roman&quot;"/>
          <w:noProof/>
          <w:sz w:val="21"/>
        </w:rPr>
        <w:t>不要吸入粉尘/烟/气体/烟雾/蒸气/喷雾。作业后彻底清洗。使用本产品时不要进食、饮水或吸烟。避免释放到环境中。戴防护手套/穿防护服/戴防护眼罩/戴防护面具。</w:t>
      </w:r>
    </w:p>
    <w:p>
      <w:pPr>
        <w:spacing w:line="240" w:lineRule="auto"/>
        <w:jc w:val="both"/>
      </w:pPr>
      <w:r>
        <w:rPr>
          <w:rFonts w:hint="eastAsia" w:ascii="&quot;Times New Roman&quot;" w:hAnsi="&quot;Times New Roman&quot;" w:eastAsia="&quot;Times New Roman&quot;"/>
          <w:b/>
          <w:noProof/>
          <w:sz w:val="21"/>
        </w:rPr>
        <w:t>事故响应：</w:t>
      </w:r>
      <w:r>
        <w:rPr>
          <w:rFonts w:hint="eastAsia" w:ascii="&quot;Times New Roman&quot;" w:hAnsi="&quot;Times New Roman&quot;" w:eastAsia="&quot;Times New Roman&quot;"/>
          <w:noProof/>
          <w:sz w:val="21"/>
        </w:rPr>
        <w:t>如感觉不适，呼叫中毒急救中心/医生。漱口。沾染的衣服清洗后方可重新使用。如误吞咽：立即呼叫中毒急救中心/医生。如误吸入：将受人转移到空气新鲜处，保持呼吸舒适的体位。立即脱掉所有沾染的衣服，清洗后方可重新使用。如误吞咽：漱口。不要诱导呕吐。如皮肤(或头发)沾染：立即去除/脱掉所有沾染的衣服。用水清洗皮肤或淋浴。如进入眼睛：用水小心冲洗几分钟。如戴隐形眼镜并可方便地取出，取出隐形眼镜。继续冲洗。</w:t>
      </w:r>
    </w:p>
    <w:p>
      <w:pPr>
        <w:spacing w:line="240" w:lineRule="auto"/>
        <w:jc w:val="both"/>
      </w:pPr>
      <w:r>
        <w:rPr>
          <w:rFonts w:hint="eastAsia" w:ascii="&quot;Times New Roman&quot;" w:hAnsi="&quot;Times New Roman&quot;" w:eastAsia="&quot;Times New Roman&quot;"/>
          <w:b/>
          <w:noProof/>
          <w:sz w:val="21"/>
        </w:rPr>
        <w:t>安全储存：</w:t>
      </w:r>
      <w:r>
        <w:rPr>
          <w:rFonts w:hint="eastAsia" w:ascii="&quot;Times New Roman&quot;" w:hAnsi="&quot;Times New Roman&quot;" w:eastAsia="&quot;Times New Roman&quot;"/>
          <w:noProof/>
          <w:sz w:val="21"/>
        </w:rPr>
        <w:t>存放处须加锁。</w:t>
      </w:r>
    </w:p>
    <w:p>
      <w:pPr>
        <w:spacing w:line="240" w:lineRule="auto"/>
        <w:jc w:val="both"/>
      </w:pPr>
      <w:r>
        <w:rPr>
          <w:rFonts w:hint="eastAsia" w:ascii="&quot;Times New Roman&quot;" w:hAnsi="&quot;Times New Roman&quot;" w:eastAsia="&quot;Times New Roman&quot;"/>
          <w:b/>
          <w:noProof/>
          <w:sz w:val="21"/>
        </w:rPr>
        <w:t>废弃处置：</w:t>
      </w:r>
      <w:r>
        <w:rPr>
          <w:rFonts w:hint="eastAsia" w:ascii="&quot;Times New Roman&quot;" w:hAnsi="&quot;Times New Roman&quot;" w:eastAsia="&quot;Times New Roman&quot;"/>
          <w:noProof/>
          <w:sz w:val="21"/>
        </w:rPr>
        <w:t>按照地方/区域/国家/国际规章处置内装物/容器。</w:t>
      </w:r>
    </w:p>
    <w:p>
      <w:pPr>
        <w:pStyle w:val="Heading2"/>
        <w:spacing w:line="240" w:lineRule="auto"/>
        <w:jc w:val="both"/>
      </w:pPr>
      <w:r>
        <w:rPr>
          <w:rFonts w:hint="eastAsia" w:ascii="&quot;Times New Roman&quot;" w:hAnsi="&quot;Times New Roman&quot;" w:eastAsia="&quot;Times New Roman&quot;"/>
          <w:b/>
          <w:noProof/>
          <w:sz w:val="21"/>
        </w:rPr>
        <w:t>| 危害描述</w:t>
      </w:r>
    </w:p>
    <w:p>
      <w:pPr>
        <w:spacing w:line="240" w:lineRule="auto"/>
        <w:jc w:val="both"/>
      </w:pPr>
      <w:r>
        <w:rPr>
          <w:rFonts w:hint="eastAsia" w:ascii="&quot;Times New Roman&quot;" w:hAnsi="&quot;Times New Roman&quot;" w:eastAsia="&quot;Times New Roman&quot;"/>
          <w:b/>
          <w:noProof/>
          <w:sz w:val="21"/>
        </w:rPr>
        <w:t>物理化学危险</w:t>
      </w:r>
    </w:p>
    <w:p>
      <w:pPr>
        <w:spacing w:line="240" w:lineRule="auto"/>
        <w:jc w:val="both"/>
      </w:pPr>
      <w:r>
        <w:rPr>
          <w:rFonts w:hint="eastAsia" w:ascii="&quot;Times New Roman&quot;" w:hAnsi="&quot;Times New Roman&quot;" w:eastAsia="&quot;Times New Roman&quot;"/>
          <w:noProof/>
          <w:sz w:val="21"/>
        </w:rPr>
        <w:t>无资料</w:t>
      </w:r>
    </w:p>
    <w:p>
      <w:pPr>
        <w:pStyle w:val="Heading2"/>
        <w:spacing w:line="240" w:lineRule="auto"/>
        <w:jc w:val="both"/>
      </w:pPr>
      <w:r>
        <w:rPr>
          <w:rFonts w:hint="eastAsia" w:ascii="&quot;Times New Roman&quot;" w:hAnsi="&quot;Times New Roman&quot;" w:eastAsia="&quot;Times New Roman&quot;"/>
          <w:b/>
          <w:noProof/>
          <w:sz w:val="21"/>
        </w:rPr>
        <w:t>健康危害</w:t>
      </w:r>
    </w:p>
    <w:p>
      <w:pPr>
        <w:spacing w:line="240" w:lineRule="auto"/>
        <w:jc w:val="both"/>
      </w:pPr>
      <w:r>
        <w:rPr>
          <w:rFonts w:hint="eastAsia" w:ascii="&quot;Times New Roman&quot;" w:hAnsi="&quot;Times New Roman&quot;" w:eastAsia="&quot;Times New Roman&quot;"/>
          <w:noProof/>
          <w:sz w:val="21"/>
        </w:rPr>
        <w:t>腐蚀物能引起呼吸道刺激，伴有咳嗽、呼吸道阻塞和粘膜损伤。吸入该物质可能会引起对健康有害的影响或呼吸道不适。意外食入本品可能引起毒害作用。意外食入本品可能对个体健康有害。皮肤接触会中毒，吸收后可导致全身发生反应。皮肤直接接触造成严重皮肤灼伤。通过割伤、擦伤或病变处进入血液，可能产生全身损伤的有害作用。眼睛直接接触本品能造成严重化学灼伤。如果未得到及时、适当的治疗，可能造成永久性失明。眼睛直接接触本品可导致暂时不适。</w:t>
      </w:r>
    </w:p>
    <w:p>
      <w:pPr>
        <w:pStyle w:val="Heading2"/>
        <w:spacing w:line="240" w:lineRule="auto"/>
        <w:jc w:val="both"/>
      </w:pPr>
      <w:r>
        <w:rPr>
          <w:rFonts w:hint="eastAsia" w:ascii="&quot;Times New Roman&quot;" w:hAnsi="&quot;Times New Roman&quot;" w:eastAsia="&quot;Times New Roman&quot;"/>
          <w:b/>
          <w:noProof/>
          <w:sz w:val="21"/>
        </w:rPr>
        <w:t>环境危害</w:t>
      </w:r>
    </w:p>
    <w:p>
      <w:pPr>
        <w:spacing w:line="240" w:lineRule="auto"/>
        <w:jc w:val="both"/>
      </w:pPr>
      <w:r>
        <w:rPr>
          <w:rFonts w:hint="eastAsia" w:ascii="&quot;Times New Roman&quot;" w:hAnsi="&quot;Times New Roman&quot;" w:eastAsia="&quot;Times New Roman&quot;"/>
          <w:noProof/>
          <w:sz w:val="21"/>
        </w:rPr>
        <w:t>本品对水生生物有毒。请参阅 SDS 第十二部分。</w:t>
      </w:r>
    </w:p>
    <w:p>
      <w:pPr>
        <w:pStyle w:val="Heading1"/>
        <w:spacing w:line="240" w:lineRule="auto"/>
        <w:jc w:val="center"/>
      </w:pPr>
      <w:r>
        <w:rPr>
          <w:rFonts w:hint="eastAsia" w:ascii="SimSun, STSong" w:hAnsi="SimSun, STSong" w:eastAsia="SimSun, STSong"/>
          <w:b/>
          <w:noProof/>
          <w:sz w:val="21"/>
        </w:rPr>
        <w:t>第三部分    成分/组成信息</w:t>
      </w:r>
    </w:p>
    <w:p>
      <w:pPr>
        <w:pStyle w:val="Heading3"/>
        <w:spacing w:line="240" w:lineRule="auto"/>
        <w:jc w:val="both"/>
      </w:pPr>
      <w:r>
        <w:rPr>
          <w:rFonts w:hint="eastAsia" w:ascii="&quot;Times New Roman&quot;" w:hAnsi="&quot;Times New Roman&quot;" w:eastAsia="&quot;Times New Roman&quot;"/>
          <w:noProof/>
          <w:sz w:val="21"/>
        </w:rPr>
        <w:t>√物质    混合物</w:t>
      </w:r>
    </w:p>
    <w:tbl>
      <w:tblPr>
        <w:tblW w:w="0" w:type="dxa"/>
      </w:tblPr>
      <w:tblGrid>
        <w:gridCol w:w="4800"/>
        <w:gridCol w:w="2760"/>
        <w:gridCol w:w="2085"/>
      </w:tblGrid>
      <w:tr>
        <w:trPr/>
        <w:tc>
          <w:tcPr>
            <w:cnfStyle w:val="001000000000"/>
            <w:tcW w:w="4800" w:type="dxa"/>
            <w:tcBorders>
              <w:top w:val="single" w:color="EEEEEE" w:sz="6"/>
              <w:left w:val="single" w:color="EEEEEE" w:sz="6"/>
              <w:bottom w:val="single" w:color="EEEEEE" w:sz="6"/>
              <w:right w:val="single" w:color="EEEEEE" w:sz="6"/>
            </w:tcBorders>
          </w:tcPr>
          <w:p>
            <w:pPr>
              <w:spacing w:line="240" w:lineRule="auto"/>
            </w:pPr>
            <w:r>
              <w:rPr>
                <w:rFonts w:hint="eastAsia" w:ascii="&quot;Times New Roman&quot;" w:hAnsi="&quot;Times New Roman&quot;" w:eastAsia="&quot;Times New Roman&quot;"/>
                <w:b/>
                <w:noProof/>
                <w:sz w:val="21"/>
              </w:rPr>
              <w:t>危险组分</w:t>
            </w:r>
          </w:p>
        </w:tc>
        <w:tc>
          <w:tcPr>
            <w:cnfStyle w:val="001000000000"/>
            <w:tcW w:w="2760" w:type="dxa"/>
            <w:tcBorders>
              <w:top w:val="single" w:color="EEEEEE" w:sz="6"/>
              <w:left w:val="single" w:color="EEEEEE" w:sz="6"/>
              <w:bottom w:val="single" w:color="EEEEEE" w:sz="6"/>
              <w:right w:val="single" w:color="EEEEEE" w:sz="6"/>
            </w:tcBorders>
          </w:tcPr>
          <w:p>
            <w:pPr>
              <w:spacing w:line="240" w:lineRule="auto"/>
            </w:pPr>
            <w:r>
              <w:rPr>
                <w:rFonts w:hint="eastAsia" w:ascii="&quot;Times New Roman&quot;" w:hAnsi="&quot;Times New Roman&quot;" w:eastAsia="&quot;Times New Roman&quot;"/>
                <w:b/>
                <w:noProof/>
                <w:sz w:val="21"/>
              </w:rPr>
              <w:t>浓度或浓度范围</w:t>
            </w:r>
          </w:p>
        </w:tc>
        <w:tc>
          <w:tcPr>
            <w:cnfStyle w:val="001000000000"/>
            <w:tcW w:w="2085" w:type="dxa"/>
            <w:tcBorders>
              <w:top w:val="single" w:color="EEEEEE" w:sz="6"/>
              <w:left w:val="single" w:color="EEEEEE" w:sz="6"/>
              <w:bottom w:val="single" w:color="EEEEEE" w:sz="6"/>
              <w:right w:val="single" w:color="EEEEEE" w:sz="6"/>
            </w:tcBorders>
          </w:tcPr>
          <w:p>
            <w:pPr>
              <w:spacing w:line="240" w:lineRule="auto"/>
            </w:pPr>
            <w:r>
              <w:rPr>
                <w:rFonts w:hint="eastAsia" w:ascii="&quot;Times New Roman&quot;" w:hAnsi="&quot;Times New Roman&quot;" w:eastAsia="&quot;Times New Roman&quot;"/>
                <w:b/>
                <w:noProof/>
                <w:sz w:val="21"/>
              </w:rPr>
              <w:t>CAS No.</w:t>
            </w:r>
          </w:p>
        </w:tc>
      </w:tr>
      <w:tr>
        <w:trPr/>
        <w:tc>
          <w:tcPr>
            <w:cnfStyle w:val="001000000000"/>
            <w:tcW w:w="4800" w:type="dxa"/>
            <w:tcBorders>
              <w:top w:val="single" w:color="EEEEEE" w:sz="6"/>
              <w:left w:val="single" w:color="EEEEEE" w:sz="6"/>
              <w:bottom w:val="single" w:color="EEEEEE" w:sz="6"/>
              <w:right w:val="single" w:color="EEEEEE" w:sz="6"/>
            </w:tcBorders>
          </w:tcPr>
          <w:p>
            <w:pPr>
              <w:spacing w:line="240" w:lineRule="auto"/>
            </w:pPr>
            <w:r>
              <w:rPr>
                <w:rFonts w:hint="eastAsia" w:ascii="&quot;Times New Roman&quot;" w:hAnsi="&quot;Times New Roman&quot;" w:eastAsia="&quot;Times New Roman&quot;"/>
                <w:noProof/>
                <w:sz w:val="21"/>
              </w:rPr>
              <w:t>2-甲酚</w:t>
            </w:r>
          </w:p>
        </w:tc>
        <w:tc>
          <w:tcPr>
            <w:cnfStyle w:val="001000000000"/>
            <w:tcW w:w="2760" w:type="dxa"/>
            <w:tcBorders>
              <w:top w:val="single" w:color="EEEEEE" w:sz="6"/>
              <w:left w:val="single" w:color="EEEEEE" w:sz="6"/>
              <w:bottom w:val="single" w:color="EEEEEE" w:sz="6"/>
              <w:right w:val="single" w:color="EEEEEE" w:sz="6"/>
            </w:tcBorders>
          </w:tcPr>
          <w:p>
            <w:pPr>
              <w:spacing w:line="240" w:lineRule="auto"/>
            </w:pPr>
            <w:r>
              <w:rPr>
                <w:rFonts w:hint="eastAsia" w:ascii="&quot;Times New Roman&quot;" w:hAnsi="&quot;Times New Roman&quot;" w:eastAsia="&quot;Times New Roman&quot;"/>
                <w:noProof/>
                <w:sz w:val="21"/>
              </w:rPr>
              <w:t>&gt;= 99.0</w:t>
            </w:r>
          </w:p>
        </w:tc>
        <w:tc>
          <w:tcPr>
            <w:cnfStyle w:val="001000000000"/>
            <w:tcW w:w="2085" w:type="dxa"/>
            <w:tcBorders>
              <w:top w:val="single" w:color="EEEEEE" w:sz="6"/>
              <w:left w:val="single" w:color="EEEEEE" w:sz="6"/>
              <w:bottom w:val="single" w:color="EEEEEE" w:sz="6"/>
              <w:right w:val="single" w:color="EEEEEE" w:sz="6"/>
            </w:tcBorders>
          </w:tcPr>
          <w:p>
            <w:pPr>
              <w:spacing w:line="240" w:lineRule="auto"/>
            </w:pPr>
            <w:r>
              <w:rPr>
                <w:rFonts w:hint="eastAsia" w:ascii="&quot;Times New Roman&quot;" w:hAnsi="&quot;Times New Roman&quot;" w:eastAsia="&quot;Times New Roman&quot;"/>
                <w:noProof/>
                <w:sz w:val="21"/>
              </w:rPr>
              <w:t>95-48-7</w:t>
            </w:r>
          </w:p>
        </w:tc>
      </w:tr>
    </w:tbl>
    <w:p>
      <w:pPr>
        <w:pStyle w:val="Heading1"/>
        <w:spacing w:line="240" w:lineRule="auto"/>
        <w:jc w:val="center"/>
      </w:pPr>
      <w:r>
        <w:rPr>
          <w:rFonts w:hint="eastAsia" w:ascii="SimSun, STSong" w:hAnsi="SimSun, STSong" w:eastAsia="SimSun, STSong"/>
          <w:b/>
          <w:noProof/>
          <w:sz w:val="21"/>
        </w:rPr>
        <w:t>第四部分    急救措施</w:t>
      </w:r>
    </w:p>
    <w:p>
      <w:pPr>
        <w:spacing w:line="240" w:lineRule="auto"/>
        <w:jc w:val="both"/>
      </w:pPr>
      <w:r>
        <w:rPr>
          <w:rFonts w:hint="eastAsia" w:ascii="&quot;Times New Roman&quot;" w:hAnsi="&quot;Times New Roman&quot;" w:eastAsia="&quot;Times New Roman&quot;"/>
          <w:b/>
          <w:noProof/>
          <w:sz w:val="21"/>
        </w:rPr>
        <w:t>| 急救措施描述</w:t>
      </w:r>
    </w:p>
    <w:p>
      <w:pPr>
        <w:spacing w:line="240" w:lineRule="auto"/>
        <w:jc w:val="both"/>
      </w:pPr>
      <w:r>
        <w:rPr>
          <w:rFonts w:hint="eastAsia" w:ascii="&quot;Times New Roman&quot;" w:hAnsi="&quot;Times New Roman&quot;" w:eastAsia="&quot;Times New Roman&quot;"/>
          <w:b/>
          <w:noProof/>
          <w:sz w:val="21"/>
        </w:rPr>
        <w:t>一般性建议：</w:t>
      </w:r>
      <w:r>
        <w:rPr>
          <w:rFonts w:hint="eastAsia" w:ascii="&quot;Times New Roman&quot;" w:hAnsi="&quot;Times New Roman&quot;" w:eastAsia="&quot;Times New Roman&quot;"/>
          <w:noProof/>
          <w:sz w:val="21"/>
        </w:rPr>
        <w:t>急救措施通常是需要的，请将本 SDS 出示给到达现场的医生。</w:t>
      </w:r>
    </w:p>
    <w:p>
      <w:pPr>
        <w:spacing w:line="240" w:lineRule="auto"/>
        <w:jc w:val="both"/>
      </w:pPr>
      <w:r>
        <w:rPr>
          <w:rFonts w:hint="eastAsia" w:ascii="&quot;Times New Roman&quot;" w:hAnsi="&quot;Times New Roman&quot;" w:eastAsia="&quot;Times New Roman&quot;"/>
          <w:b/>
          <w:noProof/>
          <w:sz w:val="21"/>
        </w:rPr>
        <w:t>皮肤接触：</w:t>
      </w:r>
      <w:r>
        <w:rPr>
          <w:rFonts w:hint="eastAsia" w:ascii="&quot;Times New Roman&quot;" w:hAnsi="&quot;Times New Roman&quot;" w:eastAsia="&quot;Times New Roman&quot;"/>
          <w:noProof/>
          <w:sz w:val="21"/>
        </w:rPr>
        <w:t>立即脱去污染的衣物。用大量肥皂水和清水冲洗皮肤。如有不适，就医。</w:t>
      </w:r>
    </w:p>
    <w:p>
      <w:pPr>
        <w:spacing w:line="240" w:lineRule="auto"/>
        <w:jc w:val="both"/>
      </w:pPr>
      <w:r>
        <w:rPr>
          <w:rFonts w:hint="eastAsia" w:ascii="&quot;Times New Roman&quot;" w:hAnsi="&quot;Times New Roman&quot;" w:eastAsia="&quot;Times New Roman&quot;"/>
          <w:b/>
          <w:noProof/>
          <w:sz w:val="21"/>
        </w:rPr>
        <w:t>眼睛接触：</w:t>
      </w:r>
      <w:r>
        <w:rPr>
          <w:rFonts w:hint="eastAsia" w:ascii="&quot;Times New Roman&quot;" w:hAnsi="&quot;Times New Roman&quot;" w:eastAsia="&quot;Times New Roman&quot;"/>
          <w:noProof/>
          <w:sz w:val="21"/>
        </w:rPr>
        <w:t>用大量水彻底冲洗至少 15 分钟。如有不适，就医。</w:t>
      </w:r>
    </w:p>
    <w:p>
      <w:pPr>
        <w:spacing w:line="240" w:lineRule="auto"/>
        <w:jc w:val="both"/>
      </w:pPr>
      <w:r>
        <w:rPr>
          <w:rFonts w:hint="eastAsia" w:ascii="&quot;Times New Roman&quot;" w:hAnsi="&quot;Times New Roman&quot;" w:eastAsia="&quot;Times New Roman&quot;"/>
          <w:b/>
          <w:noProof/>
          <w:sz w:val="21"/>
        </w:rPr>
        <w:t>吸入：</w:t>
      </w:r>
      <w:r>
        <w:rPr>
          <w:rFonts w:hint="eastAsia" w:ascii="&quot;Times New Roman&quot;" w:hAnsi="&quot;Times New Roman&quot;" w:eastAsia="&quot;Times New Roman&quot;"/>
          <w:noProof/>
          <w:sz w:val="21"/>
        </w:rPr>
        <w:t>立即将患者移到新鲜空气处，保持呼吸畅通。如果呼吸困难，给于吸氧。如患者食入或吸入本物质，不得进行口对口人工呼吸。如果呼吸停止。立即进行心肺复苏术。立即就医。</w:t>
      </w:r>
    </w:p>
    <w:p>
      <w:pPr>
        <w:spacing w:line="240" w:lineRule="auto"/>
        <w:jc w:val="both"/>
      </w:pPr>
      <w:r>
        <w:rPr>
          <w:rFonts w:hint="eastAsia" w:ascii="&quot;Times New Roman&quot;" w:hAnsi="&quot;Times New Roman&quot;" w:eastAsia="&quot;Times New Roman&quot;"/>
          <w:b/>
          <w:noProof/>
          <w:sz w:val="21"/>
        </w:rPr>
        <w:t>食入：</w:t>
      </w:r>
      <w:r>
        <w:rPr>
          <w:rFonts w:hint="eastAsia" w:ascii="&quot;Times New Roman&quot;" w:hAnsi="&quot;Times New Roman&quot;" w:eastAsia="&quot;Times New Roman&quot;"/>
          <w:noProof/>
          <w:sz w:val="21"/>
        </w:rPr>
        <w:t>禁止催吐，切勿给失去知觉者从嘴里喂食任何东西。立即呼叫医生或中毒控制中心。</w:t>
      </w:r>
    </w:p>
    <w:p>
      <w:pPr>
        <w:spacing w:line="240" w:lineRule="auto"/>
        <w:jc w:val="both"/>
      </w:pPr>
      <w:r>
        <w:rPr>
          <w:rFonts w:hint="eastAsia" w:ascii="&quot;Times New Roman&quot;" w:hAnsi="&quot;Times New Roman&quot;" w:eastAsia="&quot;Times New Roman&quot;"/>
          <w:b/>
          <w:noProof/>
          <w:sz w:val="21"/>
        </w:rPr>
        <w:t>对保护施救者的忠告：</w:t>
      </w:r>
      <w:r>
        <w:rPr>
          <w:rFonts w:hint="eastAsia" w:ascii="&quot;Times New Roman&quot;" w:hAnsi="&quot;Times New Roman&quot;" w:eastAsia="&quot;Times New Roman&quot;"/>
          <w:noProof/>
          <w:sz w:val="21"/>
        </w:rPr>
        <w:t>存储和使用区域应当有贮留池以便在排放和处理前调整 pH 值 ，并稀释泄漏液。清除所有火源，增强通风。避免接触皮肤和眼睛。避免吸入蒸气。使用防护装备,包括呼吸面具。</w:t>
      </w:r>
    </w:p>
    <w:p>
      <w:pPr>
        <w:spacing w:line="240" w:lineRule="auto"/>
        <w:jc w:val="both"/>
      </w:pPr>
      <w:r>
        <w:rPr>
          <w:rFonts w:hint="eastAsia" w:ascii="&quot;Times New Roman&quot;" w:hAnsi="&quot;Times New Roman&quot;" w:eastAsia="&quot;Times New Roman&quot;"/>
          <w:b/>
          <w:noProof/>
          <w:sz w:val="21"/>
        </w:rPr>
        <w:t>对医生的特别提示：</w:t>
      </w:r>
      <w:r>
        <w:rPr>
          <w:rFonts w:hint="eastAsia" w:ascii="&quot;Times New Roman&quot;" w:hAnsi="&quot;Times New Roman&quot;" w:eastAsia="&quot;Times New Roman&quot;"/>
          <w:noProof/>
          <w:sz w:val="21"/>
        </w:rPr>
        <w:t>根据出现的症状进行针对性处理。注意症状可能会出现延迟。</w:t>
      </w:r>
    </w:p>
    <w:p>
      <w:pPr>
        <w:pStyle w:val="Heading1"/>
        <w:spacing w:line="240" w:lineRule="auto"/>
        <w:jc w:val="center"/>
      </w:pPr>
      <w:r>
        <w:rPr>
          <w:rFonts w:hint="eastAsia" w:ascii="SimSun, STSong" w:hAnsi="SimSun, STSong" w:eastAsia="SimSun, STSong"/>
          <w:b/>
          <w:noProof/>
          <w:sz w:val="21"/>
        </w:rPr>
        <w:t>第五部分    消防措施</w:t>
      </w:r>
    </w:p>
    <w:p>
      <w:pPr>
        <w:pStyle w:val="Heading2"/>
        <w:spacing w:line="240" w:lineRule="auto"/>
        <w:jc w:val="both"/>
      </w:pPr>
      <w:r>
        <w:rPr>
          <w:rFonts w:hint="eastAsia" w:ascii="&quot;Times New Roman&quot;" w:hAnsi="&quot;Times New Roman&quot;" w:eastAsia="&quot;Times New Roman&quot;"/>
          <w:b/>
          <w:noProof/>
          <w:sz w:val="21"/>
        </w:rPr>
        <w:t>| 危险特性</w:t>
      </w:r>
    </w:p>
    <w:p>
      <w:pPr>
        <w:spacing w:line="240" w:lineRule="auto"/>
        <w:jc w:val="both"/>
      </w:pPr>
      <w:r>
        <w:rPr>
          <w:rFonts w:hint="eastAsia" w:ascii="&quot;Times New Roman&quot;" w:hAnsi="&quot;Times New Roman&quot;" w:eastAsia="&quot;Times New Roman&quot;"/>
          <w:noProof/>
          <w:sz w:val="21"/>
        </w:rPr>
        <w:t>燃烧时可能会释放毒性烟雾。遇火会产生刺激性、毒性或腐蚀性的气体。加热时，容器可能爆炸。暴露于火中的容器可能会通过压力安全阀泄漏出内容物。受热或接触火焰可能会产生膨胀或爆炸性分解。</w:t>
      </w:r>
    </w:p>
    <w:p>
      <w:pPr>
        <w:pStyle w:val="Heading2"/>
        <w:spacing w:line="240" w:lineRule="auto"/>
        <w:jc w:val="both"/>
      </w:pPr>
      <w:r>
        <w:rPr>
          <w:rFonts w:hint="eastAsia" w:ascii="&quot;Times New Roman&quot;" w:hAnsi="&quot;Times New Roman&quot;" w:eastAsia="&quot;Times New Roman&quot;"/>
          <w:b/>
          <w:noProof/>
          <w:sz w:val="21"/>
        </w:rPr>
        <w:t>| 灭火方法与灭火剂</w:t>
      </w:r>
    </w:p>
    <w:p>
      <w:pPr>
        <w:spacing w:line="240" w:lineRule="auto"/>
        <w:jc w:val="both"/>
      </w:pPr>
      <w:r>
        <w:rPr>
          <w:rFonts w:hint="eastAsia" w:ascii="&quot;Times New Roman&quot;" w:hAnsi="&quot;Times New Roman&quot;" w:eastAsia="&quot;Times New Roman&quot;"/>
          <w:noProof/>
          <w:sz w:val="21"/>
        </w:rPr>
        <w:t>合适的灭火介质: 干粉、二氧化碳或耐醇泡沫。</w:t>
      </w:r>
    </w:p>
    <w:p>
      <w:pPr>
        <w:spacing w:line="240" w:lineRule="auto"/>
        <w:jc w:val="both"/>
      </w:pPr>
      <w:r>
        <w:rPr>
          <w:rFonts w:hint="eastAsia" w:ascii="&quot;Times New Roman&quot;" w:hAnsi="&quot;Times New Roman&quot;" w:eastAsia="&quot;Times New Roman&quot;"/>
          <w:noProof/>
          <w:sz w:val="21"/>
        </w:rPr>
        <w:t>不合适的灭火介质: 避免用太强烈的水汽灭火，因为它可能会使火苗蔓延分散。</w:t>
      </w:r>
    </w:p>
    <w:p>
      <w:pPr>
        <w:pStyle w:val="Heading2"/>
        <w:spacing w:line="240" w:lineRule="auto"/>
        <w:jc w:val="both"/>
      </w:pPr>
      <w:r>
        <w:rPr>
          <w:rFonts w:hint="eastAsia" w:ascii="&quot;Times New Roman&quot;" w:hAnsi="&quot;Times New Roman&quot;" w:eastAsia="&quot;Times New Roman&quot;"/>
          <w:b/>
          <w:noProof/>
          <w:sz w:val="21"/>
        </w:rPr>
        <w:t>| 灭火注意事项及措施</w:t>
      </w:r>
    </w:p>
    <w:p>
      <w:pPr>
        <w:spacing w:line="240" w:lineRule="auto"/>
        <w:jc w:val="both"/>
      </w:pPr>
      <w:r>
        <w:rPr>
          <w:rFonts w:hint="eastAsia" w:ascii="&quot;Times New Roman&quot;" w:hAnsi="&quot;Times New Roman&quot;" w:eastAsia="&quot;Times New Roman&quot;"/>
          <w:noProof/>
          <w:sz w:val="21"/>
        </w:rPr>
        <w:t>灭火时，应佩戴呼吸面具并穿上全身防护服。在安全距离处、有充足防护的情况下灭火。防止消防水污染地表和地下水系统。</w:t>
      </w:r>
    </w:p>
    <w:p>
      <w:pPr>
        <w:pStyle w:val="Heading1"/>
        <w:spacing w:line="240" w:lineRule="auto"/>
        <w:jc w:val="center"/>
      </w:pPr>
      <w:r>
        <w:rPr>
          <w:rFonts w:hint="eastAsia" w:ascii="SimSun, STSong" w:hAnsi="SimSun, STSong" w:eastAsia="SimSun, STSong"/>
          <w:b/>
          <w:noProof/>
          <w:sz w:val="21"/>
        </w:rPr>
        <w:t>第六部分    泄漏应急处理</w:t>
      </w:r>
    </w:p>
    <w:p>
      <w:pPr>
        <w:pStyle w:val="Heading2"/>
        <w:spacing w:line="240" w:lineRule="auto"/>
        <w:jc w:val="both"/>
      </w:pPr>
      <w:r>
        <w:rPr>
          <w:rFonts w:hint="eastAsia" w:ascii="&quot;Times New Roman&quot;" w:hAnsi="&quot;Times New Roman&quot;" w:eastAsia="&quot;Times New Roman&quot;"/>
          <w:b/>
          <w:noProof/>
          <w:sz w:val="21"/>
        </w:rPr>
        <w:t>| 作业人员防护措施、防护装备和应急处置程序</w:t>
      </w:r>
    </w:p>
    <w:p>
      <w:pPr>
        <w:spacing w:line="240" w:lineRule="auto"/>
        <w:jc w:val="both"/>
      </w:pPr>
      <w:r>
        <w:rPr>
          <w:rFonts w:hint="eastAsia" w:ascii="&quot;Times New Roman&quot;" w:hAnsi="&quot;Times New Roman&quot;" w:eastAsia="&quot;Times New Roman&quot;"/>
          <w:noProof/>
          <w:sz w:val="21"/>
        </w:rPr>
        <w:t>保证充分的通风。清除所有点火源。迅速将人员撤离到安全区域，远离泄漏区域并处于上风方向。使用个人防护装备。避免吸入蒸气、烟雾、气体或风尘。</w:t>
      </w:r>
    </w:p>
    <w:p>
      <w:pPr>
        <w:pStyle w:val="Heading2"/>
        <w:spacing w:line="240" w:lineRule="auto"/>
        <w:jc w:val="both"/>
      </w:pPr>
      <w:r>
        <w:rPr>
          <w:rFonts w:hint="eastAsia" w:ascii="&quot;Times New Roman&quot;" w:hAnsi="&quot;Times New Roman&quot;" w:eastAsia="&quot;Times New Roman&quot;"/>
          <w:b/>
          <w:noProof/>
          <w:sz w:val="21"/>
        </w:rPr>
        <w:t>| 环境保护措施</w:t>
      </w:r>
    </w:p>
    <w:p>
      <w:pPr>
        <w:spacing w:line="240" w:lineRule="auto"/>
        <w:jc w:val="both"/>
      </w:pPr>
      <w:r>
        <w:rPr>
          <w:rFonts w:hint="eastAsia" w:ascii="&quot;Times New Roman&quot;" w:hAnsi="&quot;Times New Roman&quot;" w:eastAsia="&quot;Times New Roman&quot;"/>
          <w:noProof/>
          <w:sz w:val="21"/>
        </w:rPr>
        <w:t>在确保安全的情况下，采取措施防止进一步的泄漏或溢出。避免排放到周围环境中。</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泄漏化学品的收容、清除方法及处置材料</w:t>
      </w:r>
    </w:p>
    <w:p>
      <w:pPr>
        <w:spacing w:line="240" w:lineRule="auto"/>
        <w:ind w:left="0"/>
        <w:jc w:val="both"/>
      </w:pPr>
      <w:r>
        <w:rPr>
          <w:rFonts w:hint="eastAsia" w:ascii="Times New Roman,宋体" w:hAnsi="Times New Roman,宋体" w:eastAsia="Times New Roman,宋体"/>
          <w:noProof/>
          <w:sz w:val="21"/>
        </w:rPr>
        <w:t>少量泄漏时，可采用干砂或惰性吸附材料吸收泄漏物，大量泄漏时需筑堤控制。附着物或收集物应存放在合适的密闭容器中，并根据当地相关法律法规废弃处置。清除所有点火源，并采用防火花工具和防暴设备。</w:t>
      </w:r>
    </w:p>
    <w:p>
      <w:pPr>
        <w:pStyle w:val="Heading1"/>
        <w:spacing w:before="200" w:after="200" w:line="240" w:lineRule="auto"/>
        <w:jc w:val="center"/>
      </w:pPr>
      <w:r>
        <w:rPr>
          <w:rFonts w:hint="eastAsia"/>
          <w:b/>
          <w:noProof/>
          <w:sz w:val="21"/>
        </w:rPr>
        <w:t>第七部分</w:t>
      </w:r>
      <w:r>
        <w:rPr>
          <w:rFonts w:hint="eastAsia"/>
          <w:b/>
          <w:noProof/>
          <w:sz w:val="21"/>
        </w:rPr>
        <w:t>    操作处置与储存</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操作注意事项</w:t>
      </w:r>
    </w:p>
    <w:p>
      <w:pPr>
        <w:spacing w:line="240" w:lineRule="auto"/>
        <w:ind w:left="0"/>
        <w:jc w:val="both"/>
      </w:pPr>
      <w:r>
        <w:rPr>
          <w:rFonts w:hint="eastAsia" w:ascii="Times New Roman,宋体" w:hAnsi="Times New Roman,宋体" w:eastAsia="Times New Roman,宋体"/>
          <w:noProof/>
          <w:sz w:val="21"/>
        </w:rPr>
        <w:t>在通风良好处进行操作。穿戴合适的个人防护用具。避免接触皮肤和进入眼睛。远离热源、火花、明火和热表面。采取措施防止静电积累。</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储存注意事项</w:t>
      </w:r>
    </w:p>
    <w:p>
      <w:pPr>
        <w:spacing w:line="240" w:lineRule="auto"/>
        <w:ind w:left="0"/>
        <w:jc w:val="both"/>
      </w:pPr>
      <w:r>
        <w:rPr>
          <w:rFonts w:hint="eastAsia" w:ascii="Times New Roman,宋体" w:hAnsi="Times New Roman,宋体" w:eastAsia="Times New Roman,宋体"/>
          <w:noProof/>
          <w:sz w:val="21"/>
        </w:rPr>
        <w:t>保持容器密闭。储存在干燥、阴凉和通风处。远离热源、火花、明火和热表面。存储于远离不相容材料和食品容器的地方。</w:t>
      </w:r>
    </w:p>
    <w:p>
      <w:pPr>
        <w:pStyle w:val="Heading1"/>
        <w:spacing w:before="200" w:after="200" w:line="240" w:lineRule="auto"/>
        <w:jc w:val="center"/>
      </w:pPr>
      <w:r>
        <w:rPr>
          <w:rFonts w:hint="eastAsia"/>
          <w:b/>
          <w:noProof/>
          <w:sz w:val="21"/>
        </w:rPr>
        <w:t>第八部分</w:t>
      </w:r>
      <w:r>
        <w:rPr>
          <w:rFonts w:hint="eastAsia"/>
          <w:b/>
          <w:noProof/>
          <w:sz w:val="21"/>
        </w:rPr>
        <w:t>    接触控制/个体防护</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控制参数</w:t>
      </w:r>
    </w:p>
    <w:p>
      <w:pPr>
        <w:spacing w:line="240" w:lineRule="auto"/>
        <w:jc w:val="both"/>
      </w:pPr>
      <w:r>
        <w:rPr>
          <w:rFonts w:hint="eastAsia" w:ascii="Times New Roman,宋体" w:hAnsi="Times New Roman,宋体" w:eastAsia="Times New Roman,宋体"/>
          <w:b/>
          <w:noProof/>
          <w:sz w:val="21"/>
        </w:rPr>
        <w:t>职业接触限值</w:t>
      </w:r>
    </w:p>
    <w:tbl>
      <w:tblPr>
        <w:tblW w:w="5000" w:type="pct"/>
        <w:jc w:val="center"/>
      </w:tblPr>
      <w:tblGrid>
        <w:gridCol w:w="2250"/>
        <w:gridCol w:w="2415"/>
        <w:gridCol w:w="2265"/>
        <w:gridCol w:w="1695"/>
        <w:gridCol w:w="1860"/>
      </w:tblGrid>
      <w:tr>
        <w:trPr/>
        <w:tc>
          <w:tcPr>
            <w:cnfStyle w:val="001000000000"/>
            <w:tcW w:w="2250" w:type="dxa"/>
            <w:tcBorders>
              <w:top w:val="single" w:color="000000" w:sz="6"/>
              <w:left w:val="single" w:color="000000" w:sz="6"/>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组分</w:t>
            </w:r>
          </w:p>
        </w:tc>
        <w:tc>
          <w:tcPr>
            <w:cnfStyle w:val="001000000000"/>
            <w:tcW w:w="2415"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标准来源</w:t>
            </w:r>
          </w:p>
        </w:tc>
        <w:tc>
          <w:tcPr>
            <w:cnfStyle w:val="001000000000"/>
            <w:tcW w:w="2265"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类型</w:t>
            </w:r>
          </w:p>
        </w:tc>
        <w:tc>
          <w:tcPr>
            <w:cnfStyle w:val="001000000000"/>
            <w:tcW w:w="1695"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标准值</w:t>
            </w:r>
          </w:p>
        </w:tc>
        <w:tc>
          <w:tcPr>
            <w:cnfStyle w:val="001000000000"/>
            <w:tcW w:w="1860"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备注</w:t>
            </w:r>
          </w:p>
        </w:tc>
      </w:tr>
      <w:tr>
        <w:trPr/>
        <w:tc>
          <w:tcPr>
            <w:cnfStyle w:val="001000000000"/>
            <w:tcW w:w="2250" w:type="dxa"/>
            <w:vMerge w:val="restart"/>
            <w:tcBorders>
              <w:top/>
              <w:left w:val="single" w:color="000000" w:sz="6"/>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2-</w:t>
            </w:r>
            <w:r>
              <w:rPr>
                <w:rFonts w:hint="eastAsia" w:ascii="Times New Roman,宋体" w:hAnsi="Times New Roman,宋体" w:eastAsia="Times New Roman,宋体"/>
                <w:noProof/>
                <w:sz w:val="21"/>
              </w:rPr>
              <w:t>甲酚</w:t>
            </w:r>
          </w:p>
        </w:tc>
        <w:tc>
          <w:tcPr>
            <w:cnfStyle w:val="001000000000"/>
            <w:tcW w:w="2415" w:type="dxa"/>
            <w:vMerge w:val="restart"/>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GBZ 2.1-2007</w:t>
            </w:r>
          </w:p>
        </w:tc>
        <w:tc>
          <w:tcPr>
            <w:cnfStyle w:val="001000000000"/>
            <w:tcW w:w="2265"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PC-TWA</w:t>
            </w:r>
          </w:p>
        </w:tc>
        <w:tc>
          <w:tcPr>
            <w:cnfStyle w:val="001000000000"/>
            <w:tcW w:w="1695"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10 mg/m3</w:t>
            </w:r>
          </w:p>
        </w:tc>
        <w:tc>
          <w:tcPr>
            <w:cnfStyle w:val="001000000000"/>
            <w:tcW w:w="1860" w:type="dxa"/>
            <w:vMerge w:val="restart"/>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皮</w:t>
            </w:r>
          </w:p>
        </w:tc>
      </w:tr>
      <w:tr>
        <w:trPr/>
        <w:tc>
          <w:tcPr>
            <w:cnfStyle w:val="001000000000"/>
            <w:tcW w:w="2250" w:type="dxa"/>
            <w:vMerge/>
            <w:tcBorders>
              <w:top/>
              <w:left w:val="single" w:color="000000" w:sz="6"/>
              <w:bottom w:val="single" w:color="000000" w:sz="6"/>
              <w:right w:val="single" w:color="000000" w:sz="6"/>
            </w:tcBorders>
            <w:vAlign w:val="center"/>
          </w:tcPr>
          <w:p/>
        </w:tc>
        <w:tc>
          <w:tcPr>
            <w:cnfStyle w:val="001000000000"/>
            <w:tcW w:w="2415" w:type="dxa"/>
            <w:vMerge/>
            <w:tcBorders>
              <w:top/>
              <w:left/>
              <w:bottom w:val="single" w:color="000000" w:sz="6"/>
              <w:right w:val="single" w:color="000000" w:sz="6"/>
            </w:tcBorders>
            <w:vAlign w:val="center"/>
          </w:tcPr>
          <w:p/>
        </w:tc>
        <w:tc>
          <w:tcPr>
            <w:cnfStyle w:val="001000000000"/>
            <w:tcW w:w="2265" w:type="dxa"/>
            <w:tcBorders>
              <w:top/>
              <w:left w:val="single" w:color="000000" w:sz="6"/>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PC-STEL</w:t>
            </w:r>
          </w:p>
        </w:tc>
        <w:tc>
          <w:tcPr>
            <w:cnfStyle w:val="001000000000"/>
            <w:tcW w:w="1695"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w:t>
            </w:r>
          </w:p>
        </w:tc>
        <w:tc>
          <w:tcPr>
            <w:cnfStyle w:val="001000000000"/>
            <w:tcW w:w="1860" w:type="dxa"/>
            <w:vMerge/>
            <w:tcBorders>
              <w:top/>
              <w:left/>
              <w:bottom w:val="single" w:color="000000" w:sz="6"/>
              <w:right w:val="single" w:color="000000" w:sz="6"/>
            </w:tcBorders>
            <w:vAlign w:val="center"/>
          </w:tcPr>
          <w:p/>
        </w:tc>
      </w:tr>
      <w:tr>
        <w:trPr/>
        <w:tc>
          <w:tcPr>
            <w:cnfStyle w:val="001000000000"/>
            <w:tcW w:w="10485" w:type="dxa"/>
            <w:gridSpan w:val="5"/>
            <w:tcBorders>
              <w:top/>
              <w:left w:val="single" w:color="000000" w:sz="6"/>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皮</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表示可因皮肤、粘膜和眼睛直接接触蒸气、液体和固体，通过完整的皮肤吸收引起全身效应。</w:t>
            </w:r>
          </w:p>
        </w:tc>
      </w:tr>
    </w:tbl>
    <w:p>
      <w:pPr>
        <w:spacing w:line="240" w:lineRule="auto"/>
        <w:jc w:val="both"/>
      </w:pPr>
      <w:r>
        <w:rPr>
          <w:rFonts w:hint="eastAsia" w:ascii="Times New Roman,宋体" w:hAnsi="Times New Roman,宋体" w:eastAsia="Times New Roman,宋体"/>
          <w:b/>
          <w:noProof/>
          <w:sz w:val="21"/>
        </w:rPr>
        <w:t>生物限值</w:t>
      </w:r>
    </w:p>
    <w:p>
      <w:pPr>
        <w:spacing w:line="240" w:lineRule="auto"/>
        <w:ind w:left="0"/>
        <w:jc w:val="both"/>
      </w:pPr>
      <w:r>
        <w:rPr>
          <w:rFonts w:hint="eastAsia" w:ascii="Times New Roman,宋体" w:hAnsi="Times New Roman,宋体" w:eastAsia="Times New Roman,宋体"/>
          <w:noProof/>
          <w:sz w:val="21"/>
        </w:rPr>
        <w:t>无资料。</w:t>
      </w:r>
    </w:p>
    <w:p>
      <w:pPr>
        <w:pStyle w:val="Heading2"/>
        <w:spacing w:before="0" w:line="240" w:lineRule="auto"/>
        <w:ind w:left="0"/>
        <w:jc w:val="both"/>
      </w:pPr>
      <w:r>
        <w:rPr>
          <w:rFonts w:hint="eastAsia" w:ascii="Times New Roman,宋体" w:hAnsi="Times New Roman,宋体" w:eastAsia="Times New Roman,宋体"/>
          <w:b/>
          <w:noProof/>
          <w:sz w:val="21"/>
        </w:rPr>
        <w:t>监测方法</w:t>
      </w:r>
    </w:p>
    <w:p>
      <w:pPr>
        <w:spacing w:line="240" w:lineRule="auto"/>
        <w:ind w:left="0"/>
        <w:jc w:val="both"/>
      </w:pPr>
      <w:r>
        <w:rPr>
          <w:rFonts w:hint="eastAsia" w:ascii="Times New Roman,宋体" w:hAnsi="Times New Roman,宋体" w:eastAsia="Times New Roman,宋体"/>
          <w:noProof/>
          <w:sz w:val="21"/>
        </w:rPr>
        <w:t>GBZ/T</w:t>
      </w:r>
      <w:r>
        <w:rPr>
          <w:rFonts w:hint="eastAsia" w:ascii="Times New Roman,宋体" w:hAnsi="Times New Roman,宋体" w:eastAsia="Times New Roman,宋体"/>
          <w:noProof/>
          <w:spacing w:val="-7"/>
          <w:sz w:val="21"/>
        </w:rPr>
        <w:t> </w:t>
      </w:r>
      <w:r>
        <w:rPr>
          <w:rFonts w:hint="eastAsia" w:ascii="Times New Roman,宋体" w:hAnsi="Times New Roman,宋体" w:eastAsia="Times New Roman,宋体"/>
          <w:noProof/>
          <w:sz w:val="21"/>
        </w:rPr>
        <w:t>160.1~GBZ/T</w:t>
      </w:r>
      <w:r>
        <w:rPr>
          <w:rFonts w:hint="eastAsia" w:ascii="Times New Roman,宋体" w:hAnsi="Times New Roman,宋体" w:eastAsia="Times New Roman,宋体"/>
          <w:noProof/>
          <w:spacing w:val="-6"/>
          <w:sz w:val="21"/>
        </w:rPr>
        <w:t> </w:t>
      </w:r>
      <w:r>
        <w:rPr>
          <w:rFonts w:hint="eastAsia" w:ascii="Times New Roman,宋体" w:hAnsi="Times New Roman,宋体" w:eastAsia="Times New Roman,宋体"/>
          <w:noProof/>
          <w:sz w:val="21"/>
        </w:rPr>
        <w:t>160.81-2004 </w:t>
      </w:r>
      <w:r>
        <w:rPr>
          <w:rFonts w:hint="eastAsia" w:ascii="Times New Roman,宋体" w:hAnsi="Times New Roman,宋体" w:eastAsia="Times New Roman,宋体"/>
          <w:noProof/>
          <w:sz w:val="21"/>
        </w:rPr>
        <w:t>工作场所空气有毒物质测定（系列标准）。</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工程控制</w:t>
      </w:r>
    </w:p>
    <w:p>
      <w:pPr>
        <w:spacing w:line="240" w:lineRule="auto"/>
        <w:ind w:left="0"/>
        <w:jc w:val="both"/>
      </w:pPr>
      <w:r>
        <w:rPr>
          <w:rFonts w:hint="eastAsia" w:ascii="Times New Roman,宋体" w:hAnsi="Times New Roman,宋体" w:eastAsia="Times New Roman,宋体"/>
          <w:noProof/>
          <w:sz w:val="21"/>
        </w:rPr>
        <w:t>保持充分的通风，特别在封闭区内。确保在工作场所附近有洗眼和淋浴设施。使用防爆电器、通风、照明等设备。设置应急撤离通道和必要的泄险区。</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呼吸系统防护</w:t>
      </w:r>
    </w:p>
    <w:p>
      <w:pPr>
        <w:spacing w:line="240" w:lineRule="auto"/>
        <w:ind w:left="0"/>
        <w:jc w:val="both"/>
      </w:pPr>
      <w:r>
        <w:rPr>
          <w:rFonts w:hint="eastAsia" w:ascii="Times New Roman,宋体" w:hAnsi="Times New Roman,宋体" w:eastAsia="Times New Roman,宋体"/>
          <w:noProof/>
          <w:sz w:val="21"/>
        </w:rPr>
        <w:t>如果蒸气浓度超过职业接触限值或发生刺激等症状时，请使用全面罩式多功能防毒面具（。</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眼睛防护</w:t>
      </w:r>
    </w:p>
    <w:p>
      <w:pPr>
        <w:spacing w:line="240" w:lineRule="auto"/>
        <w:ind w:left="0"/>
        <w:jc w:val="both"/>
      </w:pPr>
      <w:r>
        <w:rPr>
          <w:rFonts w:hint="eastAsia" w:ascii="Times New Roman,宋体" w:hAnsi="Times New Roman,宋体" w:eastAsia="Times New Roman,宋体"/>
          <w:noProof/>
          <w:sz w:val="21"/>
        </w:rPr>
        <w:t>佩戴化学护目镜。</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皮肤和身体防护</w:t>
      </w:r>
    </w:p>
    <w:p>
      <w:pPr>
        <w:spacing w:line="240" w:lineRule="auto"/>
        <w:ind w:left="0"/>
        <w:jc w:val="both"/>
      </w:pPr>
      <w:r>
        <w:rPr>
          <w:rFonts w:hint="eastAsia" w:ascii="Times New Roman,宋体" w:hAnsi="Times New Roman,宋体" w:eastAsia="Times New Roman,宋体"/>
          <w:noProof/>
          <w:sz w:val="21"/>
        </w:rPr>
        <w:t>穿阻燃防静电防护服和抗静电的防护靴。</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手防护</w:t>
      </w:r>
    </w:p>
    <w:p>
      <w:pPr>
        <w:spacing w:line="240" w:lineRule="auto"/>
        <w:ind w:left="0"/>
        <w:jc w:val="both"/>
      </w:pPr>
      <w:r>
        <w:rPr>
          <w:rFonts w:hint="eastAsia" w:ascii="Times New Roman,宋体" w:hAnsi="Times New Roman,宋体" w:eastAsia="Times New Roman,宋体"/>
          <w:noProof/>
          <w:sz w:val="21"/>
        </w:rPr>
        <w:t>戴化学防护手套（例如丁基橡胶手套）。</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其他防护</w:t>
      </w:r>
    </w:p>
    <w:p>
      <w:pPr>
        <w:spacing w:line="240" w:lineRule="auto"/>
        <w:ind w:left="0"/>
        <w:jc w:val="both"/>
      </w:pPr>
      <w:r>
        <w:rPr>
          <w:rFonts w:hint="eastAsia" w:ascii="Times New Roman,宋体" w:hAnsi="Times New Roman,宋体" w:eastAsia="Times New Roman,宋体"/>
          <w:noProof/>
          <w:sz w:val="21"/>
        </w:rPr>
        <w:t>工作现场禁止吸烟、进食和饮水。工作完毕，淋浴更衣。保持良好的卫生习惯。</w:t>
      </w:r>
    </w:p>
    <w:p>
      <w:pPr>
        <w:pStyle w:val="Heading1"/>
        <w:spacing w:before="200" w:after="200" w:line="240" w:lineRule="auto"/>
        <w:jc w:val="center"/>
      </w:pPr>
      <w:r>
        <w:rPr>
          <w:rFonts w:hint="eastAsia"/>
          <w:b/>
          <w:noProof/>
          <w:sz w:val="21"/>
        </w:rPr>
        <w:t>第九部分</w:t>
      </w:r>
      <w:r>
        <w:rPr>
          <w:rFonts w:hint="eastAsia"/>
          <w:b/>
          <w:noProof/>
          <w:sz w:val="21"/>
        </w:rPr>
        <w:t>    理化特性</w:t>
      </w:r>
    </w:p>
    <w:tbl>
      <w:tblPr>
        <w:tblW w:w="5000" w:type="pct"/>
        <w:jc w:val="center"/>
      </w:tblPr>
      <w:tblGrid>
        <w:gridCol w:w="5175"/>
        <w:gridCol w:w="5310"/>
      </w:tblGrid>
      <w:tr>
        <w:trPr/>
        <w:tc>
          <w:tcPr>
            <w:cnfStyle w:val="001000000000"/>
            <w:tcW w:w="10485" w:type="dxa"/>
            <w:gridSpan w:val="2"/>
            <w:tcBorders>
              <w:top w:val="single" w:color="000000" w:sz="6"/>
              <w:left w:val="single" w:color="000000" w:sz="6"/>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外观与性状：</w:t>
            </w:r>
            <w:r>
              <w:rPr>
                <w:rFonts w:hint="eastAsia" w:ascii="Times New Roman,宋体" w:hAnsi="Times New Roman,宋体" w:eastAsia="Times New Roman,宋体"/>
                <w:noProof/>
                <w:sz w:val="21"/>
              </w:rPr>
              <w:t>透明至略琥珀色液体</w:t>
            </w:r>
          </w:p>
        </w:tc>
      </w:tr>
      <w:tr>
        <w:trPr/>
        <w:tc>
          <w:tcPr>
            <w:cnfStyle w:val="001000000000"/>
            <w:tcW w:w="5175" w:type="dxa"/>
            <w:tcBorders>
              <w:top/>
              <w:left w:val="single" w:color="000000" w:sz="6"/>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pH </w:t>
            </w:r>
            <w:r>
              <w:rPr>
                <w:rFonts w:hint="eastAsia" w:ascii="Times New Roman,宋体" w:hAnsi="Times New Roman,宋体" w:eastAsia="Times New Roman,宋体"/>
                <w:b/>
                <w:noProof/>
                <w:sz w:val="21"/>
              </w:rPr>
              <w:t>值（指明浓度）：</w:t>
            </w:r>
            <w:r>
              <w:rPr>
                <w:rFonts w:hint="eastAsia" w:ascii="Times New Roman,宋体" w:hAnsi="Times New Roman,宋体" w:eastAsia="Times New Roman,宋体"/>
                <w:b/>
                <w:noProof/>
                <w:sz w:val="21"/>
              </w:rPr>
              <w:t> </w:t>
            </w:r>
            <w:r>
              <w:rPr>
                <w:rFonts w:hint="eastAsia" w:ascii="Times New Roman,宋体" w:hAnsi="Times New Roman,宋体" w:eastAsia="Times New Roman,宋体"/>
                <w:noProof/>
                <w:sz w:val="21"/>
              </w:rPr>
              <w:t>无资料</w:t>
            </w:r>
          </w:p>
        </w:tc>
        <w:tc>
          <w:tcPr>
            <w:cnfStyle w:val="001000000000"/>
            <w:tcW w:w="5310" w:type="dxa"/>
            <w:tcBorders>
              <w:top/>
              <w:left/>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气味：</w:t>
            </w:r>
            <w:r>
              <w:rPr>
                <w:rFonts w:hint="eastAsia" w:ascii="Times New Roman,宋体" w:hAnsi="Times New Roman,宋体" w:eastAsia="Times New Roman,宋体"/>
                <w:noProof/>
                <w:sz w:val="21"/>
              </w:rPr>
              <w:t>无资料</w:t>
            </w:r>
          </w:p>
        </w:tc>
      </w:tr>
      <w:tr>
        <w:trPr/>
        <w:tc>
          <w:tcPr>
            <w:cnfStyle w:val="001000000000"/>
            <w:tcW w:w="5175" w:type="dxa"/>
            <w:tcBorders>
              <w:top/>
              <w:left w:val="single" w:color="000000" w:sz="6"/>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沸点、初沸点和沸程</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w:t>
            </w:r>
            <w:r>
              <w:rPr>
                <w:rFonts w:hint="eastAsia" w:ascii="Times New Roman,宋体" w:hAnsi="Times New Roman,宋体" w:eastAsia="Times New Roman,宋体"/>
                <w:noProof/>
                <w:sz w:val="21"/>
              </w:rPr>
              <w:t>191</w:t>
            </w:r>
          </w:p>
        </w:tc>
        <w:tc>
          <w:tcPr>
            <w:cnfStyle w:val="001000000000"/>
            <w:tcW w:w="5310" w:type="dxa"/>
            <w:tcBorders>
              <w:top/>
              <w:left/>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熔点</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凝固点</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w:t>
            </w:r>
            <w:r>
              <w:rPr>
                <w:rFonts w:hint="eastAsia" w:ascii="Times New Roman,宋体" w:hAnsi="Times New Roman,宋体" w:eastAsia="Times New Roman,宋体"/>
                <w:noProof/>
                <w:sz w:val="21"/>
              </w:rPr>
              <w:t>31</w:t>
            </w:r>
          </w:p>
        </w:tc>
      </w:tr>
      <w:tr>
        <w:trPr/>
        <w:tc>
          <w:tcPr>
            <w:cnfStyle w:val="001000000000"/>
            <w:tcW w:w="5175" w:type="dxa"/>
            <w:tcBorders>
              <w:top/>
              <w:left w:val="single" w:color="000000" w:sz="6"/>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相对蒸气密度</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空气</w:t>
            </w:r>
            <w:r>
              <w:rPr>
                <w:rFonts w:hint="eastAsia" w:ascii="Times New Roman,宋体" w:hAnsi="Times New Roman,宋体" w:eastAsia="Times New Roman,宋体"/>
                <w:b/>
                <w:noProof/>
                <w:sz w:val="21"/>
              </w:rPr>
              <w:t>=1)</w:t>
            </w:r>
            <w:r>
              <w:rPr>
                <w:rFonts w:hint="eastAsia" w:ascii="Times New Roman,宋体" w:hAnsi="Times New Roman,宋体" w:eastAsia="Times New Roman,宋体"/>
                <w:b/>
                <w:noProof/>
                <w:sz w:val="21"/>
              </w:rPr>
              <w:t>：</w:t>
            </w:r>
            <w:r>
              <w:rPr>
                <w:rFonts w:hint="eastAsia" w:ascii="Times New Roman,宋体" w:hAnsi="Times New Roman,宋体" w:eastAsia="Times New Roman,宋体"/>
                <w:noProof/>
                <w:sz w:val="21"/>
              </w:rPr>
              <w:t>3.7</w:t>
            </w:r>
          </w:p>
        </w:tc>
        <w:tc>
          <w:tcPr>
            <w:cnfStyle w:val="001000000000"/>
            <w:tcW w:w="5310" w:type="dxa"/>
            <w:tcBorders>
              <w:top/>
              <w:left/>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气味临界值：</w:t>
            </w:r>
            <w:r>
              <w:rPr>
                <w:rFonts w:hint="eastAsia" w:ascii="Times New Roman,宋体" w:hAnsi="Times New Roman,宋体" w:eastAsia="Times New Roman,宋体"/>
                <w:noProof/>
                <w:sz w:val="21"/>
              </w:rPr>
              <w:t>无资料</w:t>
            </w:r>
          </w:p>
        </w:tc>
      </w:tr>
      <w:tr>
        <w:trPr/>
        <w:tc>
          <w:tcPr>
            <w:cnfStyle w:val="001000000000"/>
            <w:tcW w:w="5175" w:type="dxa"/>
            <w:tcBorders>
              <w:top/>
              <w:left w:val="single" w:color="000000" w:sz="6"/>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饱和蒸气压</w:t>
            </w:r>
            <w:r>
              <w:rPr>
                <w:rFonts w:hint="eastAsia" w:ascii="Times New Roman,宋体" w:hAnsi="Times New Roman,宋体" w:eastAsia="Times New Roman,宋体"/>
                <w:b/>
                <w:noProof/>
                <w:sz w:val="21"/>
              </w:rPr>
              <w:t>(kPa)</w:t>
            </w:r>
            <w:r>
              <w:rPr>
                <w:rFonts w:hint="eastAsia" w:ascii="Times New Roman,宋体" w:hAnsi="Times New Roman,宋体" w:eastAsia="Times New Roman,宋体"/>
                <w:b/>
                <w:noProof/>
                <w:sz w:val="21"/>
              </w:rPr>
              <w:t>：</w:t>
            </w:r>
            <w:r>
              <w:rPr>
                <w:rFonts w:hint="eastAsia" w:ascii="Times New Roman,宋体" w:hAnsi="Times New Roman,宋体" w:eastAsia="Times New Roman,宋体"/>
                <w:noProof/>
                <w:sz w:val="21"/>
              </w:rPr>
              <w:t>33Pa</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25℃ </w:t>
            </w:r>
            <w:r>
              <w:rPr>
                <w:rFonts w:hint="eastAsia" w:ascii="Times New Roman,宋体" w:hAnsi="Times New Roman,宋体" w:eastAsia="Times New Roman,宋体"/>
                <w:noProof/>
                <w:sz w:val="21"/>
              </w:rPr>
              <w:t>）</w:t>
            </w:r>
          </w:p>
        </w:tc>
        <w:tc>
          <w:tcPr>
            <w:cnfStyle w:val="001000000000"/>
            <w:tcW w:w="5310" w:type="dxa"/>
            <w:tcBorders>
              <w:top/>
              <w:left/>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相对密度</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水</w:t>
            </w:r>
            <w:r>
              <w:rPr>
                <w:rFonts w:hint="eastAsia" w:ascii="Times New Roman,宋体" w:hAnsi="Times New Roman,宋体" w:eastAsia="Times New Roman,宋体"/>
                <w:b/>
                <w:noProof/>
                <w:sz w:val="21"/>
              </w:rPr>
              <w:t>=1)</w:t>
            </w:r>
            <w:r>
              <w:rPr>
                <w:rFonts w:hint="eastAsia" w:ascii="Times New Roman,宋体" w:hAnsi="Times New Roman,宋体" w:eastAsia="Times New Roman,宋体"/>
                <w:b/>
                <w:noProof/>
                <w:sz w:val="21"/>
              </w:rPr>
              <w:t>：</w:t>
            </w:r>
            <w:r>
              <w:rPr>
                <w:rFonts w:hint="eastAsia" w:ascii="Times New Roman,宋体" w:hAnsi="Times New Roman,宋体" w:eastAsia="Times New Roman,宋体"/>
                <w:noProof/>
                <w:sz w:val="21"/>
              </w:rPr>
              <w:t>1.05</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20℃</w:t>
            </w:r>
            <w:r>
              <w:rPr>
                <w:rFonts w:hint="eastAsia" w:ascii="Times New Roman,宋体" w:hAnsi="Times New Roman,宋体" w:eastAsia="Times New Roman,宋体"/>
                <w:noProof/>
                <w:sz w:val="21"/>
              </w:rPr>
              <w:t>）</w:t>
            </w:r>
          </w:p>
        </w:tc>
      </w:tr>
      <w:tr>
        <w:trPr/>
        <w:tc>
          <w:tcPr>
            <w:cnfStyle w:val="001000000000"/>
            <w:tcW w:w="5175" w:type="dxa"/>
            <w:tcBorders>
              <w:top/>
              <w:left w:val="single" w:color="000000" w:sz="6"/>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蒸发速率：</w:t>
            </w:r>
            <w:r>
              <w:rPr>
                <w:rFonts w:hint="eastAsia" w:ascii="Times New Roman,宋体" w:hAnsi="Times New Roman,宋体" w:eastAsia="Times New Roman,宋体"/>
                <w:noProof/>
                <w:sz w:val="21"/>
              </w:rPr>
              <w:t>无资料</w:t>
            </w:r>
          </w:p>
        </w:tc>
        <w:tc>
          <w:tcPr>
            <w:cnfStyle w:val="001000000000"/>
            <w:tcW w:w="5310" w:type="dxa"/>
            <w:tcBorders>
              <w:top/>
              <w:left/>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黏度</w:t>
            </w:r>
            <w:r>
              <w:rPr>
                <w:rFonts w:hint="eastAsia" w:ascii="Times New Roman,宋体" w:hAnsi="Times New Roman,宋体" w:eastAsia="Times New Roman,宋体"/>
                <w:b/>
                <w:noProof/>
                <w:sz w:val="21"/>
              </w:rPr>
              <w:t>(mm2/s)</w:t>
            </w:r>
            <w:r>
              <w:rPr>
                <w:rFonts w:hint="eastAsia" w:ascii="Times New Roman,宋体" w:hAnsi="Times New Roman,宋体" w:eastAsia="Times New Roman,宋体"/>
                <w:b/>
                <w:noProof/>
                <w:sz w:val="21"/>
              </w:rPr>
              <w:t>：</w:t>
            </w:r>
            <w:r>
              <w:rPr>
                <w:rFonts w:hint="eastAsia" w:ascii="Times New Roman,宋体" w:hAnsi="Times New Roman,宋体" w:eastAsia="Times New Roman,宋体"/>
                <w:noProof/>
                <w:sz w:val="21"/>
              </w:rPr>
              <w:t>无资料</w:t>
            </w:r>
          </w:p>
        </w:tc>
      </w:tr>
      <w:tr>
        <w:trPr/>
        <w:tc>
          <w:tcPr>
            <w:cnfStyle w:val="001000000000"/>
            <w:tcW w:w="5175" w:type="dxa"/>
            <w:tcBorders>
              <w:top/>
              <w:left w:val="single" w:color="000000" w:sz="6"/>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闪</w:t>
            </w: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点</w:t>
            </w: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w:t>
            </w:r>
            <w:r>
              <w:rPr>
                <w:rFonts w:hint="eastAsia" w:ascii="Times New Roman,宋体" w:hAnsi="Times New Roman,宋体" w:eastAsia="Times New Roman,宋体"/>
                <w:noProof/>
                <w:sz w:val="21"/>
              </w:rPr>
              <w:t>81</w:t>
            </w:r>
          </w:p>
        </w:tc>
        <w:tc>
          <w:tcPr>
            <w:cnfStyle w:val="001000000000"/>
            <w:tcW w:w="5310" w:type="dxa"/>
            <w:tcBorders>
              <w:top/>
              <w:left/>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n-</w:t>
            </w:r>
            <w:r>
              <w:rPr>
                <w:rFonts w:hint="eastAsia" w:ascii="Times New Roman,宋体" w:hAnsi="Times New Roman,宋体" w:eastAsia="Times New Roman,宋体"/>
                <w:b/>
                <w:noProof/>
                <w:sz w:val="21"/>
              </w:rPr>
              <w:t>辛醇</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水分配系数：</w:t>
            </w:r>
            <w:r>
              <w:rPr>
                <w:rFonts w:hint="eastAsia" w:ascii="Times New Roman,宋体" w:hAnsi="Times New Roman,宋体" w:eastAsia="Times New Roman,宋体"/>
                <w:noProof/>
                <w:sz w:val="21"/>
              </w:rPr>
              <w:t>1.95</w:t>
            </w:r>
          </w:p>
        </w:tc>
      </w:tr>
      <w:tr>
        <w:trPr/>
        <w:tc>
          <w:tcPr>
            <w:cnfStyle w:val="001000000000"/>
            <w:tcW w:w="5175" w:type="dxa"/>
            <w:tcBorders>
              <w:top/>
              <w:left w:val="single" w:color="000000" w:sz="6"/>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分解温度</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w:t>
            </w:r>
            <w:r>
              <w:rPr>
                <w:rFonts w:hint="eastAsia" w:ascii="Times New Roman,宋体" w:hAnsi="Times New Roman,宋体" w:eastAsia="Times New Roman,宋体"/>
                <w:noProof/>
                <w:sz w:val="21"/>
              </w:rPr>
              <w:t>无资料</w:t>
            </w:r>
          </w:p>
        </w:tc>
        <w:tc>
          <w:tcPr>
            <w:cnfStyle w:val="001000000000"/>
            <w:tcW w:w="5310" w:type="dxa"/>
            <w:tcBorders>
              <w:top/>
              <w:left/>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引燃温度</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w:t>
            </w:r>
            <w:r>
              <w:rPr>
                <w:rFonts w:hint="eastAsia" w:ascii="Times New Roman,宋体" w:hAnsi="Times New Roman,宋体" w:eastAsia="Times New Roman,宋体"/>
                <w:noProof/>
                <w:sz w:val="21"/>
              </w:rPr>
              <w:t>555</w:t>
            </w:r>
          </w:p>
        </w:tc>
      </w:tr>
      <w:tr>
        <w:trPr/>
        <w:tc>
          <w:tcPr>
            <w:cnfStyle w:val="001000000000"/>
            <w:tcW w:w="10485" w:type="dxa"/>
            <w:gridSpan w:val="2"/>
            <w:tcBorders>
              <w:top/>
              <w:left w:val="single" w:color="000000" w:sz="6"/>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爆炸上限</w:t>
            </w: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下限</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(V/V)]</w:t>
            </w:r>
            <w:r>
              <w:rPr>
                <w:rFonts w:hint="eastAsia" w:ascii="Times New Roman,宋体" w:hAnsi="Times New Roman,宋体" w:eastAsia="Times New Roman,宋体"/>
                <w:b/>
                <w:noProof/>
                <w:sz w:val="21"/>
              </w:rPr>
              <w:t>：</w:t>
            </w:r>
            <w:r>
              <w:rPr>
                <w:rFonts w:hint="eastAsia" w:ascii="Times New Roman,宋体" w:hAnsi="Times New Roman,宋体" w:eastAsia="Times New Roman,宋体"/>
                <w:noProof/>
                <w:sz w:val="21"/>
              </w:rPr>
              <w:t>上限：无资料；下限：</w:t>
            </w:r>
            <w:r>
              <w:rPr>
                <w:rFonts w:hint="eastAsia" w:ascii="Times New Roman,宋体" w:hAnsi="Times New Roman,宋体" w:eastAsia="Times New Roman,宋体"/>
                <w:noProof/>
                <w:sz w:val="21"/>
              </w:rPr>
              <w:t>1.3</w:t>
            </w:r>
          </w:p>
        </w:tc>
      </w:tr>
      <w:tr>
        <w:trPr/>
        <w:tc>
          <w:tcPr>
            <w:cnfStyle w:val="001000000000"/>
            <w:tcW w:w="5175" w:type="dxa"/>
            <w:tcBorders>
              <w:top/>
              <w:left w:val="single" w:color="000000" w:sz="6"/>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溶解性：</w:t>
            </w:r>
            <w:r>
              <w:rPr>
                <w:rFonts w:hint="eastAsia" w:ascii="Times New Roman,宋体" w:hAnsi="Times New Roman,宋体" w:eastAsia="Times New Roman,宋体"/>
                <w:noProof/>
                <w:sz w:val="21"/>
              </w:rPr>
              <w:t>不溶于水</w:t>
            </w:r>
          </w:p>
        </w:tc>
        <w:tc>
          <w:tcPr>
            <w:cnfStyle w:val="001000000000"/>
            <w:tcW w:w="5310" w:type="dxa"/>
            <w:tcBorders>
              <w:top/>
              <w:left/>
              <w:bottom w:val="single" w:color="000000" w:sz="6"/>
              <w:right w:val="single" w:color="000000" w:sz="6"/>
            </w:tcBorders>
            <w:vAlign w:val="center"/>
          </w:tcPr>
          <w:p>
            <w:pPr>
              <w:spacing w:line="240" w:lineRule="auto"/>
              <w:ind w:left="0"/>
              <w:jc w:val="both"/>
            </w:pPr>
            <w:r>
              <w:rPr>
                <w:rFonts w:hint="eastAsia" w:ascii="Times New Roman,宋体" w:hAnsi="Times New Roman,宋体" w:eastAsia="Times New Roman,宋体"/>
                <w:b/>
                <w:noProof/>
                <w:sz w:val="21"/>
              </w:rPr>
              <w:t>易燃性：</w:t>
            </w:r>
            <w:r>
              <w:rPr>
                <w:rFonts w:hint="eastAsia" w:ascii="Times New Roman,宋体" w:hAnsi="Times New Roman,宋体" w:eastAsia="Times New Roman,宋体"/>
                <w:noProof/>
                <w:sz w:val="21"/>
              </w:rPr>
              <w:t>不适用</w:t>
            </w:r>
          </w:p>
        </w:tc>
      </w:tr>
    </w:tbl>
    <w:p>
      <w:pPr>
        <w:pStyle w:val="Heading1"/>
        <w:spacing w:before="200" w:after="200" w:line="240" w:lineRule="auto"/>
        <w:jc w:val="center"/>
      </w:pPr>
      <w:r>
        <w:rPr>
          <w:rFonts w:hint="eastAsia"/>
          <w:b/>
          <w:noProof/>
          <w:sz w:val="21"/>
        </w:rPr>
        <w:t>第十部分</w:t>
      </w:r>
      <w:r>
        <w:rPr>
          <w:rFonts w:hint="eastAsia"/>
          <w:b/>
          <w:noProof/>
          <w:sz w:val="21"/>
        </w:rPr>
        <w:t>    稳定性和反应性</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稳定性</w:t>
      </w:r>
    </w:p>
    <w:p>
      <w:pPr>
        <w:spacing w:line="240" w:lineRule="auto"/>
        <w:ind w:left="0"/>
        <w:jc w:val="both"/>
      </w:pPr>
      <w:r>
        <w:rPr>
          <w:rFonts w:hint="eastAsia" w:ascii="Times New Roman,宋体" w:hAnsi="Times New Roman,宋体" w:eastAsia="Times New Roman,宋体"/>
          <w:noProof/>
          <w:sz w:val="21"/>
        </w:rPr>
        <w:t>在正确的使用和存储条件下是稳定的。</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不相容的物质</w:t>
      </w:r>
    </w:p>
    <w:p>
      <w:pPr>
        <w:spacing w:line="240" w:lineRule="auto"/>
        <w:ind w:left="0"/>
        <w:jc w:val="both"/>
      </w:pPr>
      <w:r>
        <w:rPr>
          <w:rFonts w:hint="eastAsia" w:ascii="Times New Roman,宋体" w:hAnsi="Times New Roman,宋体" w:eastAsia="Times New Roman,宋体"/>
          <w:noProof/>
          <w:sz w:val="21"/>
        </w:rPr>
        <w:t>无资料</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应避免的条件</w:t>
      </w:r>
    </w:p>
    <w:p>
      <w:pPr>
        <w:spacing w:line="240" w:lineRule="auto"/>
        <w:ind w:left="0"/>
        <w:jc w:val="both"/>
      </w:pPr>
      <w:r>
        <w:rPr>
          <w:rFonts w:hint="eastAsia" w:ascii="Times New Roman,宋体" w:hAnsi="Times New Roman,宋体" w:eastAsia="Times New Roman,宋体"/>
          <w:noProof/>
          <w:sz w:val="21"/>
        </w:rPr>
        <w:t>不相容物质，热、火焰和火花。</w:t>
      </w:r>
    </w:p>
    <w:p>
      <w:pPr>
        <w:pStyle w:val="Heading2"/>
        <w:spacing w:before="0" w:line="240" w:lineRule="auto"/>
        <w:ind w:left="0"/>
        <w:jc w:val="both"/>
      </w:pP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pacing w:val="47"/>
          <w:sz w:val="21"/>
        </w:rPr>
        <w:t> </w:t>
      </w:r>
      <w:r>
        <w:rPr>
          <w:rFonts w:hint="eastAsia" w:ascii="Times New Roman,宋体" w:hAnsi="Times New Roman,宋体" w:eastAsia="Times New Roman,宋体"/>
          <w:b/>
          <w:noProof/>
          <w:sz w:val="21"/>
        </w:rPr>
        <w:t>危险反应</w:t>
      </w:r>
    </w:p>
    <w:p>
      <w:pPr>
        <w:spacing w:line="240" w:lineRule="auto"/>
        <w:ind w:left="0"/>
        <w:jc w:val="both"/>
      </w:pPr>
      <w:r>
        <w:rPr>
          <w:rFonts w:hint="eastAsia" w:ascii="Times New Roman,宋体" w:hAnsi="Times New Roman,宋体" w:eastAsia="Times New Roman,宋体"/>
          <w:noProof/>
          <w:sz w:val="21"/>
        </w:rPr>
        <w:t>无资料</w:t>
      </w:r>
    </w:p>
    <w:p>
      <w:pPr>
        <w:pStyle w:val="Heading2"/>
        <w:spacing w:before="0" w:line="240" w:lineRule="auto"/>
        <w:ind w:left="0"/>
        <w:jc w:val="both"/>
      </w:pP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pacing w:val="47"/>
          <w:sz w:val="21"/>
        </w:rPr>
        <w:t> </w:t>
      </w:r>
      <w:r>
        <w:rPr>
          <w:rFonts w:hint="eastAsia" w:ascii="Times New Roman,宋体" w:hAnsi="Times New Roman,宋体" w:eastAsia="Times New Roman,宋体"/>
          <w:b/>
          <w:noProof/>
          <w:sz w:val="21"/>
        </w:rPr>
        <w:t>分解产物</w:t>
      </w:r>
    </w:p>
    <w:p>
      <w:pPr>
        <w:spacing w:line="240" w:lineRule="auto"/>
        <w:ind w:left="0"/>
        <w:jc w:val="both"/>
      </w:pPr>
      <w:r>
        <w:rPr>
          <w:rFonts w:hint="eastAsia" w:ascii="Times New Roman,宋体" w:hAnsi="Times New Roman,宋体" w:eastAsia="Times New Roman,宋体"/>
          <w:noProof/>
          <w:sz w:val="21"/>
        </w:rPr>
        <w:t>在正常的储存和使用条件下，不会产生危险的分解产物。</w:t>
      </w:r>
    </w:p>
    <w:p>
      <w:pPr>
        <w:pStyle w:val="Heading1"/>
        <w:spacing w:before="200" w:after="200" w:line="240" w:lineRule="auto"/>
        <w:jc w:val="center"/>
      </w:pPr>
      <w:r>
        <w:rPr>
          <w:rFonts w:hint="eastAsia"/>
          <w:b/>
          <w:noProof/>
          <w:sz w:val="21"/>
        </w:rPr>
        <w:t>第十一部分</w:t>
      </w:r>
      <w:r>
        <w:rPr>
          <w:rFonts w:hint="eastAsia"/>
          <w:b/>
          <w:noProof/>
          <w:sz w:val="21"/>
        </w:rPr>
        <w:t>    毒理学信息</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急性毒性</w:t>
      </w:r>
    </w:p>
    <w:tbl>
      <w:tblPr>
        <w:tblW w:w="5000" w:type="pct"/>
        <w:jc w:val="center"/>
      </w:tblPr>
      <w:tblGrid>
        <w:gridCol w:w="2835"/>
        <w:gridCol w:w="1425"/>
        <w:gridCol w:w="1980"/>
        <w:gridCol w:w="1980"/>
        <w:gridCol w:w="2250"/>
      </w:tblGrid>
      <w:tr>
        <w:trPr/>
        <w:tc>
          <w:tcPr>
            <w:cnfStyle w:val="001000000000"/>
            <w:tcW w:w="2835" w:type="dxa"/>
            <w:tcBorders>
              <w:top w:val="single" w:color="000000" w:sz="6"/>
              <w:left w:val="single" w:color="000000" w:sz="6"/>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组分</w:t>
            </w:r>
          </w:p>
        </w:tc>
        <w:tc>
          <w:tcPr>
            <w:cnfStyle w:val="001000000000"/>
            <w:tcW w:w="1425"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CAS NO.</w:t>
            </w:r>
          </w:p>
        </w:tc>
        <w:tc>
          <w:tcPr>
            <w:cnfStyle w:val="001000000000"/>
            <w:tcW w:w="1980"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LD</w:t>
            </w:r>
            <w:r>
              <w:rPr>
                <w:rFonts w:hint="eastAsia" w:ascii="Times New Roman,宋体" w:hAnsi="Times New Roman,宋体" w:eastAsia="Times New Roman,宋体"/>
                <w:b/>
                <w:noProof/>
                <w:sz w:val="21"/>
              </w:rPr>
              <w:t>50</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经口</w:t>
            </w:r>
            <w:r>
              <w:rPr>
                <w:rFonts w:hint="eastAsia" w:ascii="Times New Roman,宋体" w:hAnsi="Times New Roman,宋体" w:eastAsia="Times New Roman,宋体"/>
                <w:b/>
                <w:noProof/>
                <w:sz w:val="21"/>
              </w:rPr>
              <w:t>)</w:t>
            </w:r>
          </w:p>
        </w:tc>
        <w:tc>
          <w:tcPr>
            <w:cnfStyle w:val="001000000000"/>
            <w:tcW w:w="1980"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LD</w:t>
            </w:r>
            <w:r>
              <w:rPr>
                <w:rFonts w:hint="eastAsia" w:ascii="Times New Roman,宋体" w:hAnsi="Times New Roman,宋体" w:eastAsia="Times New Roman,宋体"/>
                <w:b/>
                <w:noProof/>
                <w:sz w:val="21"/>
              </w:rPr>
              <w:t>50</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经皮</w:t>
            </w:r>
            <w:r>
              <w:rPr>
                <w:rFonts w:hint="eastAsia" w:ascii="Times New Roman,宋体" w:hAnsi="Times New Roman,宋体" w:eastAsia="Times New Roman,宋体"/>
                <w:b/>
                <w:noProof/>
                <w:sz w:val="21"/>
              </w:rPr>
              <w:t>)</w:t>
            </w:r>
          </w:p>
        </w:tc>
        <w:tc>
          <w:tcPr>
            <w:cnfStyle w:val="001000000000"/>
            <w:tcW w:w="2250"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LC</w:t>
            </w:r>
            <w:r>
              <w:rPr>
                <w:rFonts w:hint="eastAsia" w:ascii="Times New Roman,宋体" w:hAnsi="Times New Roman,宋体" w:eastAsia="Times New Roman,宋体"/>
                <w:b/>
                <w:noProof/>
                <w:sz w:val="21"/>
              </w:rPr>
              <w:t>50</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吸入</w:t>
            </w:r>
            <w:r>
              <w:rPr>
                <w:rFonts w:hint="eastAsia" w:ascii="Times New Roman,宋体" w:hAnsi="Times New Roman,宋体" w:eastAsia="Times New Roman,宋体"/>
                <w:b/>
                <w:noProof/>
                <w:sz w:val="21"/>
              </w:rPr>
              <w:t>)</w:t>
            </w:r>
          </w:p>
        </w:tc>
      </w:tr>
      <w:tr>
        <w:trPr/>
        <w:tc>
          <w:tcPr>
            <w:cnfStyle w:val="001000000000"/>
            <w:tcW w:w="2835" w:type="dxa"/>
            <w:tcBorders>
              <w:top/>
              <w:left w:val="single" w:color="000000" w:sz="6"/>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2-</w:t>
            </w:r>
            <w:r>
              <w:rPr>
                <w:rFonts w:hint="eastAsia" w:ascii="Times New Roman,宋体" w:hAnsi="Times New Roman,宋体" w:eastAsia="Times New Roman,宋体"/>
                <w:noProof/>
                <w:sz w:val="21"/>
              </w:rPr>
              <w:t>甲酚</w:t>
            </w:r>
          </w:p>
        </w:tc>
        <w:tc>
          <w:tcPr>
            <w:cnfStyle w:val="001000000000"/>
            <w:tcW w:w="1425"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95-48-7</w:t>
            </w:r>
          </w:p>
        </w:tc>
        <w:tc>
          <w:tcPr>
            <w:cnfStyle w:val="001000000000"/>
            <w:tcW w:w="1980"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121mg/kg(</w:t>
            </w:r>
            <w:r>
              <w:rPr>
                <w:rFonts w:hint="eastAsia" w:ascii="Times New Roman,宋体" w:hAnsi="Times New Roman,宋体" w:eastAsia="Times New Roman,宋体"/>
                <w:noProof/>
                <w:sz w:val="21"/>
              </w:rPr>
              <w:t>大鼠</w:t>
            </w:r>
            <w:r>
              <w:rPr>
                <w:rFonts w:hint="eastAsia" w:ascii="Times New Roman,宋体" w:hAnsi="Times New Roman,宋体" w:eastAsia="Times New Roman,宋体"/>
                <w:noProof/>
                <w:sz w:val="21"/>
              </w:rPr>
              <w:t>)</w:t>
            </w:r>
          </w:p>
        </w:tc>
        <w:tc>
          <w:tcPr>
            <w:cnfStyle w:val="001000000000"/>
            <w:tcW w:w="1980"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890mg/kg(</w:t>
            </w:r>
            <w:r>
              <w:rPr>
                <w:rFonts w:hint="eastAsia" w:ascii="Times New Roman,宋体" w:hAnsi="Times New Roman,宋体" w:eastAsia="Times New Roman,宋体"/>
                <w:noProof/>
                <w:sz w:val="21"/>
              </w:rPr>
              <w:t>兔子</w:t>
            </w:r>
            <w:r>
              <w:rPr>
                <w:rFonts w:hint="eastAsia" w:ascii="Times New Roman,宋体" w:hAnsi="Times New Roman,宋体" w:eastAsia="Times New Roman,宋体"/>
                <w:noProof/>
                <w:sz w:val="21"/>
              </w:rPr>
              <w:t>)</w:t>
            </w:r>
          </w:p>
        </w:tc>
        <w:tc>
          <w:tcPr>
            <w:cnfStyle w:val="001000000000"/>
            <w:tcW w:w="2250"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无资料</w:t>
            </w:r>
          </w:p>
        </w:tc>
      </w:tr>
    </w:tbl>
    <w:p>
      <w:pPr>
        <w:spacing w:line="240" w:lineRule="auto"/>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致癌性</w:t>
      </w:r>
    </w:p>
    <w:tbl>
      <w:tblPr>
        <w:tblW w:w="5000" w:type="pct"/>
        <w:jc w:val="center"/>
      </w:tblPr>
      <w:tblGrid>
        <w:gridCol w:w="705"/>
        <w:gridCol w:w="1560"/>
        <w:gridCol w:w="3975"/>
        <w:gridCol w:w="1980"/>
        <w:gridCol w:w="2250"/>
      </w:tblGrid>
      <w:tr>
        <w:trPr/>
        <w:tc>
          <w:tcPr>
            <w:cnfStyle w:val="001000000000"/>
            <w:tcW w:w="705" w:type="dxa"/>
            <w:tcBorders>
              <w:top w:val="single" w:color="000000" w:sz="6"/>
              <w:left w:val="single" w:color="000000" w:sz="6"/>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ID</w:t>
            </w:r>
          </w:p>
        </w:tc>
        <w:tc>
          <w:tcPr>
            <w:cnfStyle w:val="001000000000"/>
            <w:tcW w:w="1560"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CAS NO.</w:t>
            </w:r>
          </w:p>
        </w:tc>
        <w:tc>
          <w:tcPr>
            <w:cnfStyle w:val="001000000000"/>
            <w:tcW w:w="3975"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组分名称</w:t>
            </w:r>
          </w:p>
        </w:tc>
        <w:tc>
          <w:tcPr>
            <w:cnfStyle w:val="001000000000"/>
            <w:tcW w:w="1980"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IARC</w:t>
            </w:r>
          </w:p>
        </w:tc>
        <w:tc>
          <w:tcPr>
            <w:cnfStyle w:val="001000000000"/>
            <w:tcW w:w="2250"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NTP</w:t>
            </w:r>
          </w:p>
        </w:tc>
      </w:tr>
      <w:tr>
        <w:trPr/>
        <w:tc>
          <w:tcPr>
            <w:cnfStyle w:val="001000000000"/>
            <w:tcW w:w="705" w:type="dxa"/>
            <w:tcBorders>
              <w:top/>
              <w:left w:val="single" w:color="000000" w:sz="6"/>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1</w:t>
            </w:r>
          </w:p>
        </w:tc>
        <w:tc>
          <w:tcPr>
            <w:cnfStyle w:val="001000000000"/>
            <w:tcW w:w="1560"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95-48-7</w:t>
            </w:r>
          </w:p>
        </w:tc>
        <w:tc>
          <w:tcPr>
            <w:cnfStyle w:val="001000000000"/>
            <w:tcW w:w="3975"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2-</w:t>
            </w:r>
            <w:r>
              <w:rPr>
                <w:rFonts w:hint="eastAsia" w:ascii="Times New Roman,宋体" w:hAnsi="Times New Roman,宋体" w:eastAsia="Times New Roman,宋体"/>
                <w:noProof/>
                <w:sz w:val="21"/>
              </w:rPr>
              <w:t>甲酚</w:t>
            </w:r>
          </w:p>
        </w:tc>
        <w:tc>
          <w:tcPr>
            <w:cnfStyle w:val="001000000000"/>
            <w:tcW w:w="1980"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未列入</w:t>
            </w:r>
          </w:p>
        </w:tc>
        <w:tc>
          <w:tcPr>
            <w:cnfStyle w:val="001000000000"/>
            <w:tcW w:w="2250"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未列入</w:t>
            </w:r>
          </w:p>
        </w:tc>
      </w:tr>
    </w:tbl>
    <w:p>
      <w:pPr>
        <w:spacing w:line="240" w:lineRule="auto"/>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皮肤刺激性或腐蚀性</w:t>
      </w:r>
    </w:p>
    <w:p>
      <w:pPr>
        <w:spacing w:line="240" w:lineRule="auto"/>
        <w:ind w:left="0"/>
        <w:jc w:val="both"/>
      </w:pPr>
      <w:r>
        <w:rPr>
          <w:rFonts w:hint="eastAsia" w:ascii="Times New Roman,宋体" w:hAnsi="Times New Roman,宋体" w:eastAsia="Times New Roman,宋体"/>
          <w:noProof/>
          <w:sz w:val="21"/>
        </w:rPr>
        <w:t>造成严重皮肤灼伤和眼损伤</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眼睛刺激或腐蚀</w:t>
      </w:r>
    </w:p>
    <w:p>
      <w:pPr>
        <w:spacing w:line="240" w:lineRule="auto"/>
        <w:ind w:left="0"/>
        <w:jc w:val="both"/>
      </w:pPr>
      <w:r>
        <w:rPr>
          <w:rFonts w:hint="eastAsia" w:ascii="Times New Roman,宋体" w:hAnsi="Times New Roman,宋体" w:eastAsia="Times New Roman,宋体"/>
          <w:noProof/>
          <w:sz w:val="21"/>
        </w:rPr>
        <w:t>造成严重眼损伤</w:t>
      </w:r>
    </w:p>
    <w:p>
      <w:pPr>
        <w:pStyle w:val="Heading2"/>
        <w:spacing w:before="0" w:line="240" w:lineRule="auto"/>
        <w:ind w:left="0"/>
        <w:jc w:val="both"/>
      </w:pP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pacing w:val="47"/>
          <w:sz w:val="21"/>
        </w:rPr>
        <w:t> </w:t>
      </w:r>
      <w:r>
        <w:rPr>
          <w:rFonts w:hint="eastAsia" w:ascii="Times New Roman,宋体" w:hAnsi="Times New Roman,宋体" w:eastAsia="Times New Roman,宋体"/>
          <w:b/>
          <w:noProof/>
          <w:sz w:val="21"/>
        </w:rPr>
        <w:t>皮肤致敏</w:t>
      </w:r>
    </w:p>
    <w:p>
      <w:pPr>
        <w:spacing w:line="240" w:lineRule="auto"/>
        <w:ind w:left="0"/>
        <w:jc w:val="both"/>
      </w:pPr>
      <w:r>
        <w:rPr>
          <w:rFonts w:hint="eastAsia" w:ascii="Times New Roman,宋体" w:hAnsi="Times New Roman,宋体" w:eastAsia="Times New Roman,宋体"/>
          <w:noProof/>
          <w:sz w:val="21"/>
        </w:rPr>
        <w:t>无资料</w:t>
      </w:r>
    </w:p>
    <w:p>
      <w:pPr>
        <w:pStyle w:val="Heading2"/>
        <w:spacing w:before="0" w:line="240" w:lineRule="auto"/>
        <w:ind w:left="0"/>
        <w:jc w:val="both"/>
      </w:pP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pacing w:val="47"/>
          <w:sz w:val="21"/>
        </w:rPr>
        <w:t> </w:t>
      </w:r>
      <w:r>
        <w:rPr>
          <w:rFonts w:hint="eastAsia" w:ascii="Times New Roman,宋体" w:hAnsi="Times New Roman,宋体" w:eastAsia="Times New Roman,宋体"/>
          <w:b/>
          <w:noProof/>
          <w:sz w:val="21"/>
        </w:rPr>
        <w:t>呼吸致敏</w:t>
      </w:r>
    </w:p>
    <w:p>
      <w:pPr>
        <w:spacing w:line="240" w:lineRule="auto"/>
        <w:ind w:left="0"/>
        <w:jc w:val="both"/>
      </w:pPr>
      <w:r>
        <w:rPr>
          <w:rFonts w:hint="eastAsia" w:ascii="Times New Roman,宋体" w:hAnsi="Times New Roman,宋体" w:eastAsia="Times New Roman,宋体"/>
          <w:noProof/>
          <w:sz w:val="21"/>
        </w:rPr>
        <w:t>无资料</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生殖细胞突变性</w:t>
      </w:r>
    </w:p>
    <w:p>
      <w:pPr>
        <w:spacing w:line="240" w:lineRule="auto"/>
        <w:ind w:left="0"/>
        <w:jc w:val="both"/>
      </w:pPr>
      <w:r>
        <w:rPr>
          <w:rFonts w:hint="eastAsia" w:ascii="Times New Roman,宋体" w:hAnsi="Times New Roman,宋体" w:eastAsia="Times New Roman,宋体"/>
          <w:noProof/>
          <w:sz w:val="21"/>
        </w:rPr>
        <w:t>无资料</w:t>
      </w:r>
    </w:p>
    <w:p>
      <w:pPr>
        <w:pStyle w:val="Heading2"/>
        <w:spacing w:before="0" w:line="240" w:lineRule="auto"/>
        <w:ind w:left="0"/>
        <w:jc w:val="both"/>
      </w:pP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pacing w:val="47"/>
          <w:sz w:val="21"/>
        </w:rPr>
        <w:t> </w:t>
      </w:r>
      <w:r>
        <w:rPr>
          <w:rFonts w:hint="eastAsia" w:ascii="Times New Roman,宋体" w:hAnsi="Times New Roman,宋体" w:eastAsia="Times New Roman,宋体"/>
          <w:b/>
          <w:noProof/>
          <w:sz w:val="21"/>
        </w:rPr>
        <w:t>生殖毒性</w:t>
      </w:r>
    </w:p>
    <w:p>
      <w:pPr>
        <w:spacing w:line="240" w:lineRule="auto"/>
        <w:ind w:left="0"/>
        <w:jc w:val="both"/>
      </w:pPr>
      <w:r>
        <w:rPr>
          <w:rFonts w:hint="eastAsia" w:ascii="Times New Roman,宋体" w:hAnsi="Times New Roman,宋体" w:eastAsia="Times New Roman,宋体"/>
          <w:noProof/>
          <w:sz w:val="21"/>
        </w:rPr>
        <w:t>无资料</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特异性靶器官系统毒性</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一次接触可能</w:t>
      </w:r>
    </w:p>
    <w:p>
      <w:pPr>
        <w:spacing w:line="240" w:lineRule="auto"/>
        <w:ind w:left="0"/>
        <w:jc w:val="both"/>
      </w:pPr>
      <w:r>
        <w:rPr>
          <w:rFonts w:hint="eastAsia" w:ascii="Times New Roman,宋体" w:hAnsi="Times New Roman,宋体" w:eastAsia="Times New Roman,宋体"/>
          <w:noProof/>
          <w:sz w:val="21"/>
        </w:rPr>
        <w:t>无资料</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特异性靶器官系统毒性</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反复接触</w:t>
      </w:r>
    </w:p>
    <w:p>
      <w:pPr>
        <w:spacing w:line="240" w:lineRule="auto"/>
        <w:ind w:left="0"/>
        <w:jc w:val="both"/>
      </w:pPr>
      <w:r>
        <w:rPr>
          <w:rFonts w:hint="eastAsia" w:ascii="Times New Roman,宋体" w:hAnsi="Times New Roman,宋体" w:eastAsia="Times New Roman,宋体"/>
          <w:noProof/>
          <w:sz w:val="21"/>
        </w:rPr>
        <w:t>无资料</w:t>
      </w:r>
    </w:p>
    <w:p>
      <w:pPr>
        <w:pStyle w:val="Heading2"/>
        <w:spacing w:before="0" w:line="240" w:lineRule="auto"/>
        <w:ind w:left="0"/>
        <w:jc w:val="both"/>
      </w:pP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pacing w:val="47"/>
          <w:sz w:val="21"/>
        </w:rPr>
        <w:t> </w:t>
      </w:r>
      <w:r>
        <w:rPr>
          <w:rFonts w:hint="eastAsia" w:ascii="Times New Roman,宋体" w:hAnsi="Times New Roman,宋体" w:eastAsia="Times New Roman,宋体"/>
          <w:b/>
          <w:noProof/>
          <w:sz w:val="21"/>
        </w:rPr>
        <w:t>吸入危害</w:t>
      </w:r>
    </w:p>
    <w:p>
      <w:pPr>
        <w:spacing w:line="240" w:lineRule="auto"/>
        <w:ind w:left="0"/>
        <w:jc w:val="both"/>
      </w:pPr>
      <w:r>
        <w:rPr>
          <w:rFonts w:hint="eastAsia" w:ascii="Times New Roman,宋体" w:hAnsi="Times New Roman,宋体" w:eastAsia="Times New Roman,宋体"/>
          <w:noProof/>
          <w:sz w:val="21"/>
        </w:rPr>
        <w:t>无资料</w:t>
      </w:r>
    </w:p>
    <w:p>
      <w:pPr>
        <w:pStyle w:val="Heading1"/>
        <w:spacing w:before="200" w:after="200" w:line="240" w:lineRule="auto"/>
        <w:jc w:val="center"/>
      </w:pPr>
      <w:r>
        <w:rPr>
          <w:rFonts w:hint="eastAsia"/>
          <w:b/>
          <w:noProof/>
          <w:sz w:val="21"/>
        </w:rPr>
        <w:t>第十二部分</w:t>
      </w:r>
      <w:r>
        <w:rPr>
          <w:rFonts w:hint="eastAsia"/>
          <w:b/>
          <w:noProof/>
          <w:sz w:val="21"/>
        </w:rPr>
        <w:t>    生态学信息</w:t>
      </w:r>
    </w:p>
    <w:p>
      <w:pPr>
        <w:pStyle w:val="Heading2"/>
        <w:spacing w:before="0" w:line="240" w:lineRule="auto"/>
        <w:ind w:left="0"/>
        <w:jc w:val="both"/>
      </w:pP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pacing w:val="48"/>
          <w:sz w:val="21"/>
        </w:rPr>
        <w:t> </w:t>
      </w:r>
      <w:r>
        <w:rPr>
          <w:rFonts w:hint="eastAsia" w:ascii="Times New Roman,宋体" w:hAnsi="Times New Roman,宋体" w:eastAsia="Times New Roman,宋体"/>
          <w:b/>
          <w:noProof/>
          <w:spacing w:val="-1"/>
          <w:sz w:val="21"/>
        </w:rPr>
        <w:t>急性水生毒性</w:t>
      </w:r>
    </w:p>
    <w:tbl>
      <w:tblPr>
        <w:tblW w:w="5000" w:type="pct"/>
        <w:jc w:val="center"/>
      </w:tblPr>
      <w:tblGrid>
        <w:gridCol w:w="1845"/>
        <w:gridCol w:w="1425"/>
        <w:gridCol w:w="2700"/>
        <w:gridCol w:w="2550"/>
        <w:gridCol w:w="1980"/>
      </w:tblGrid>
      <w:tr>
        <w:trPr/>
        <w:tc>
          <w:tcPr>
            <w:cnfStyle w:val="001000000000"/>
            <w:tcW w:w="1845" w:type="dxa"/>
            <w:tcBorders>
              <w:top w:val="single" w:color="000000" w:sz="6"/>
              <w:left w:val="single" w:color="000000" w:sz="6"/>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组分</w:t>
            </w:r>
          </w:p>
        </w:tc>
        <w:tc>
          <w:tcPr>
            <w:cnfStyle w:val="001000000000"/>
            <w:tcW w:w="1425"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CAS NO.</w:t>
            </w:r>
          </w:p>
        </w:tc>
        <w:tc>
          <w:tcPr>
            <w:cnfStyle w:val="001000000000"/>
            <w:tcW w:w="2700"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鱼类</w:t>
            </w:r>
          </w:p>
        </w:tc>
        <w:tc>
          <w:tcPr>
            <w:cnfStyle w:val="001000000000"/>
            <w:tcW w:w="2550"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甲壳纲动物</w:t>
            </w:r>
          </w:p>
        </w:tc>
        <w:tc>
          <w:tcPr>
            <w:cnfStyle w:val="001000000000"/>
            <w:tcW w:w="1980"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藻类</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水生植物</w:t>
            </w:r>
          </w:p>
        </w:tc>
      </w:tr>
      <w:tr>
        <w:trPr/>
        <w:tc>
          <w:tcPr>
            <w:cnfStyle w:val="001000000000"/>
            <w:tcW w:w="1845" w:type="dxa"/>
            <w:tcBorders>
              <w:top/>
              <w:left w:val="single" w:color="000000" w:sz="6"/>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2-</w:t>
            </w:r>
            <w:r>
              <w:rPr>
                <w:rFonts w:hint="eastAsia" w:ascii="Times New Roman,宋体" w:hAnsi="Times New Roman,宋体" w:eastAsia="Times New Roman,宋体"/>
                <w:noProof/>
                <w:sz w:val="21"/>
              </w:rPr>
              <w:t>甲酚</w:t>
            </w:r>
          </w:p>
        </w:tc>
        <w:tc>
          <w:tcPr>
            <w:cnfStyle w:val="001000000000"/>
            <w:tcW w:w="1425"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95-48-7</w:t>
            </w:r>
          </w:p>
        </w:tc>
        <w:tc>
          <w:tcPr>
            <w:cnfStyle w:val="001000000000"/>
            <w:tcW w:w="2700"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LC</w:t>
            </w:r>
            <w:r>
              <w:rPr>
                <w:rFonts w:hint="eastAsia" w:ascii="Times New Roman,宋体" w:hAnsi="Times New Roman,宋体" w:eastAsia="Times New Roman,宋体"/>
                <w:noProof/>
                <w:sz w:val="21"/>
              </w:rPr>
              <w:t>50</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18.2mg/L (96h)(</w:t>
            </w:r>
            <w:r>
              <w:rPr>
                <w:rFonts w:hint="eastAsia" w:ascii="Times New Roman,宋体" w:hAnsi="Times New Roman,宋体" w:eastAsia="Times New Roman,宋体"/>
                <w:noProof/>
                <w:sz w:val="21"/>
              </w:rPr>
              <w:t>鱼</w:t>
            </w:r>
            <w:r>
              <w:rPr>
                <w:rFonts w:hint="eastAsia" w:ascii="Times New Roman,宋体" w:hAnsi="Times New Roman,宋体" w:eastAsia="Times New Roman,宋体"/>
                <w:noProof/>
                <w:sz w:val="21"/>
              </w:rPr>
              <w:t>)</w:t>
            </w:r>
          </w:p>
        </w:tc>
        <w:tc>
          <w:tcPr>
            <w:cnfStyle w:val="001000000000"/>
            <w:tcW w:w="2550"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EC</w:t>
            </w:r>
            <w:r>
              <w:rPr>
                <w:rFonts w:hint="eastAsia" w:ascii="Times New Roman,宋体" w:hAnsi="Times New Roman,宋体" w:eastAsia="Times New Roman,宋体"/>
                <w:noProof/>
                <w:sz w:val="21"/>
              </w:rPr>
              <w:t>50</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15.8mg/L (48h)</w:t>
            </w:r>
          </w:p>
        </w:tc>
        <w:tc>
          <w:tcPr>
            <w:cnfStyle w:val="001000000000"/>
            <w:tcW w:w="1980"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ErC</w:t>
            </w:r>
            <w:r>
              <w:rPr>
                <w:rFonts w:hint="eastAsia" w:ascii="Times New Roman,宋体" w:hAnsi="Times New Roman,宋体" w:eastAsia="Times New Roman,宋体"/>
                <w:noProof/>
                <w:sz w:val="21"/>
              </w:rPr>
              <w:t>50 </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 100mg/L</w:t>
            </w:r>
          </w:p>
          <w:p>
            <w:pPr>
              <w:spacing w:line="240" w:lineRule="auto"/>
              <w:ind w:left="0"/>
              <w:jc w:val="center"/>
            </w:pPr>
            <w:r>
              <w:rPr>
                <w:rFonts w:hint="eastAsia" w:ascii="Times New Roman,宋体" w:hAnsi="Times New Roman,宋体" w:eastAsia="Times New Roman,宋体"/>
                <w:noProof/>
                <w:sz w:val="21"/>
              </w:rPr>
              <w:t>(96h)</w:t>
            </w:r>
          </w:p>
        </w:tc>
      </w:tr>
    </w:tbl>
    <w:p>
      <w:pPr>
        <w:spacing w:line="240" w:lineRule="auto"/>
        <w:jc w:val="both"/>
      </w:pP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pacing w:val="48"/>
          <w:sz w:val="21"/>
        </w:rPr>
        <w:t> </w:t>
      </w:r>
      <w:r>
        <w:rPr>
          <w:rFonts w:hint="eastAsia" w:ascii="Times New Roman,宋体" w:hAnsi="Times New Roman,宋体" w:eastAsia="Times New Roman,宋体"/>
          <w:b/>
          <w:noProof/>
          <w:spacing w:val="-1"/>
          <w:sz w:val="21"/>
        </w:rPr>
        <w:t>慢性水生毒性</w:t>
      </w:r>
    </w:p>
    <w:p>
      <w:pPr>
        <w:spacing w:line="240" w:lineRule="auto"/>
        <w:ind w:left="0"/>
        <w:jc w:val="both"/>
      </w:pPr>
      <w:r>
        <w:rPr>
          <w:rFonts w:hint="eastAsia" w:ascii="Times New Roman,宋体" w:hAnsi="Times New Roman,宋体" w:eastAsia="Times New Roman,宋体"/>
          <w:noProof/>
          <w:sz w:val="21"/>
        </w:rPr>
        <w:t>无资料。</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持久性和降解性</w:t>
      </w:r>
    </w:p>
    <w:p>
      <w:pPr>
        <w:spacing w:line="240" w:lineRule="auto"/>
        <w:ind w:left="0"/>
        <w:jc w:val="both"/>
      </w:pPr>
      <w:r>
        <w:rPr>
          <w:rFonts w:hint="eastAsia" w:ascii="Times New Roman,宋体" w:hAnsi="Times New Roman,宋体" w:eastAsia="Times New Roman,宋体"/>
          <w:noProof/>
          <w:sz w:val="21"/>
        </w:rPr>
        <w:t>无资料</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潜在的生物累积性</w:t>
      </w:r>
    </w:p>
    <w:p>
      <w:pPr>
        <w:spacing w:line="240" w:lineRule="auto"/>
        <w:ind w:left="0"/>
        <w:jc w:val="both"/>
      </w:pPr>
      <w:r>
        <w:rPr>
          <w:rFonts w:hint="eastAsia" w:ascii="Times New Roman,宋体" w:hAnsi="Times New Roman,宋体" w:eastAsia="Times New Roman,宋体"/>
          <w:noProof/>
          <w:sz w:val="21"/>
        </w:rPr>
        <w:t>无资料</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土壤中的迁移性</w:t>
      </w:r>
    </w:p>
    <w:p>
      <w:pPr>
        <w:spacing w:line="240" w:lineRule="auto"/>
        <w:ind w:left="0"/>
        <w:jc w:val="both"/>
      </w:pPr>
      <w:r>
        <w:rPr>
          <w:rFonts w:hint="eastAsia" w:ascii="Times New Roman,宋体" w:hAnsi="Times New Roman,宋体" w:eastAsia="Times New Roman,宋体"/>
          <w:noProof/>
          <w:sz w:val="21"/>
        </w:rPr>
        <w:t>无资料</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其他有害作用</w:t>
      </w:r>
    </w:p>
    <w:p>
      <w:pPr>
        <w:spacing w:line="240" w:lineRule="auto"/>
        <w:ind w:left="0"/>
        <w:jc w:val="both"/>
      </w:pPr>
      <w:r>
        <w:rPr>
          <w:rFonts w:hint="eastAsia" w:ascii="Times New Roman,宋体" w:hAnsi="Times New Roman,宋体" w:eastAsia="Times New Roman,宋体"/>
          <w:noProof/>
          <w:sz w:val="21"/>
        </w:rPr>
        <w:t>无资料。</w:t>
      </w:r>
    </w:p>
    <w:p>
      <w:pPr>
        <w:pStyle w:val="Heading1"/>
        <w:spacing w:before="200" w:after="200" w:line="240" w:lineRule="auto"/>
        <w:jc w:val="center"/>
      </w:pPr>
      <w:r>
        <w:rPr>
          <w:rFonts w:hint="eastAsia"/>
          <w:b/>
          <w:noProof/>
          <w:sz w:val="21"/>
        </w:rPr>
        <w:t>第十三部分</w:t>
      </w:r>
      <w:r>
        <w:rPr>
          <w:rFonts w:hint="eastAsia"/>
          <w:b/>
          <w:noProof/>
          <w:sz w:val="21"/>
        </w:rPr>
        <w:t>    废弃处置</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废弃处置方法</w:t>
      </w:r>
    </w:p>
    <w:p>
      <w:pPr>
        <w:spacing w:line="240" w:lineRule="auto"/>
        <w:ind w:left="0"/>
        <w:jc w:val="both"/>
      </w:pPr>
      <w:r>
        <w:rPr>
          <w:rFonts w:hint="eastAsia" w:ascii="Times New Roman,宋体" w:hAnsi="Times New Roman,宋体" w:eastAsia="Times New Roman,宋体"/>
          <w:noProof/>
          <w:sz w:val="21"/>
        </w:rPr>
        <w:t>产品：如需求医，随手携带产品容器或标签。</w:t>
      </w:r>
    </w:p>
    <w:p>
      <w:pPr>
        <w:spacing w:line="240" w:lineRule="auto"/>
        <w:ind w:left="0"/>
        <w:jc w:val="both"/>
      </w:pPr>
      <w:r>
        <w:rPr>
          <w:rFonts w:hint="eastAsia" w:ascii="Times New Roman,宋体" w:hAnsi="Times New Roman,宋体" w:eastAsia="Times New Roman,宋体"/>
          <w:noProof/>
          <w:sz w:val="21"/>
        </w:rPr>
        <w:t>不洁的包装：包装物清空后仍可能存在残留物危害，应远离热和火源，如有可能返还给供应商循环使用。</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废弃注意事项</w:t>
      </w:r>
    </w:p>
    <w:p>
      <w:pPr>
        <w:spacing w:line="240" w:lineRule="auto"/>
        <w:ind w:left="0"/>
        <w:jc w:val="both"/>
      </w:pPr>
      <w:r>
        <w:rPr>
          <w:rFonts w:hint="eastAsia" w:ascii="Times New Roman,宋体" w:hAnsi="Times New Roman,宋体" w:eastAsia="Times New Roman,宋体"/>
          <w:noProof/>
          <w:sz w:val="21"/>
        </w:rPr>
        <w:t>请参阅</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废弃物处理</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部分。</w:t>
      </w:r>
    </w:p>
    <w:p>
      <w:pPr>
        <w:pStyle w:val="Heading1"/>
        <w:spacing w:before="200" w:after="200" w:line="240" w:lineRule="auto"/>
        <w:jc w:val="center"/>
      </w:pPr>
      <w:r>
        <w:rPr>
          <w:rFonts w:hint="eastAsia"/>
          <w:b/>
          <w:noProof/>
          <w:sz w:val="21"/>
        </w:rPr>
        <w:t>第十四部分</w:t>
      </w:r>
      <w:r>
        <w:rPr>
          <w:rFonts w:hint="eastAsia"/>
          <w:b/>
          <w:noProof/>
          <w:sz w:val="21"/>
        </w:rPr>
        <w:t>    运输信息</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联合国危险货物编号（</w:t>
      </w:r>
      <w:r>
        <w:rPr>
          <w:rFonts w:hint="eastAsia" w:ascii="Times New Roman,宋体" w:hAnsi="Times New Roman,宋体" w:eastAsia="Times New Roman,宋体"/>
          <w:b/>
          <w:noProof/>
          <w:sz w:val="21"/>
        </w:rPr>
        <w:t>UN)</w:t>
      </w:r>
      <w:r>
        <w:rPr>
          <w:rFonts w:hint="eastAsia" w:ascii="Times New Roman,宋体" w:hAnsi="Times New Roman,宋体" w:eastAsia="Times New Roman,宋体"/>
          <w:b/>
          <w:noProof/>
          <w:sz w:val="21"/>
        </w:rPr>
        <w:t>：</w:t>
      </w:r>
      <w:r>
        <w:rPr>
          <w:rFonts w:hint="eastAsia" w:ascii="Times New Roman,宋体" w:hAnsi="Times New Roman,宋体" w:eastAsia="Times New Roman,宋体"/>
          <w:noProof/>
          <w:sz w:val="21"/>
        </w:rPr>
        <w:t>3455</w:t>
      </w:r>
    </w:p>
    <w:p>
      <w:pPr>
        <w:spacing w:line="240" w:lineRule="auto"/>
        <w:jc w:val="both"/>
      </w:pP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pacing w:val="47"/>
          <w:sz w:val="21"/>
        </w:rPr>
        <w:t> </w:t>
      </w:r>
      <w:r>
        <w:rPr>
          <w:rFonts w:hint="eastAsia" w:ascii="Times New Roman,宋体" w:hAnsi="Times New Roman,宋体" w:eastAsia="Times New Roman,宋体"/>
          <w:b/>
          <w:noProof/>
          <w:spacing w:val="-1"/>
          <w:sz w:val="21"/>
        </w:rPr>
        <w:t>联合国运输名称：</w:t>
      </w:r>
      <w:r>
        <w:rPr>
          <w:rFonts w:hint="eastAsia" w:ascii="Times New Roman,宋体" w:hAnsi="Times New Roman,宋体" w:eastAsia="Times New Roman,宋体"/>
          <w:noProof/>
          <w:spacing w:val="-2"/>
          <w:sz w:val="21"/>
        </w:rPr>
        <w:t>固态甲酚</w:t>
      </w:r>
    </w:p>
    <w:p>
      <w:pPr>
        <w:spacing w:line="240" w:lineRule="auto"/>
        <w:jc w:val="both"/>
      </w:pP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pacing w:val="46"/>
          <w:sz w:val="21"/>
        </w:rPr>
        <w:t> </w:t>
      </w:r>
      <w:r>
        <w:rPr>
          <w:rFonts w:hint="eastAsia" w:ascii="Times New Roman,宋体" w:hAnsi="Times New Roman,宋体" w:eastAsia="Times New Roman,宋体"/>
          <w:b/>
          <w:noProof/>
          <w:spacing w:val="-2"/>
          <w:sz w:val="21"/>
        </w:rPr>
        <w:t>联合国危险性分类：</w:t>
      </w:r>
      <w:r>
        <w:rPr>
          <w:rFonts w:hint="eastAsia" w:ascii="Times New Roman,宋体" w:hAnsi="Times New Roman,宋体" w:eastAsia="Times New Roman,宋体"/>
          <w:noProof/>
          <w:sz w:val="21"/>
        </w:rPr>
        <w:t>6.1+8</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包装类别：</w:t>
      </w:r>
      <w:r>
        <w:rPr>
          <w:rFonts w:hint="eastAsia" w:ascii="Times New Roman,宋体" w:hAnsi="Times New Roman,宋体" w:eastAsia="Times New Roman,宋体"/>
          <w:noProof/>
          <w:sz w:val="21"/>
        </w:rPr>
        <w:t>Ⅱ</w:t>
      </w:r>
    </w:p>
    <w:p>
      <w:pPr>
        <w:spacing w:line="240" w:lineRule="auto"/>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包装标签</w:t>
      </w:r>
    </w:p>
    <w:p>
      <w:pPr>
        <w:spacing w:line="240" w:lineRule="auto"/>
        <w:ind w:left="0"/>
        <w:jc w:val="both"/>
      </w:pPr>
    </w:p>
    <w:p>
      <w:pPr>
        <w:spacing w:line="240" w:lineRule="auto"/>
        <w:ind w:left="0"/>
        <w:jc w:val="both"/>
      </w:pPr>
      <w:r>
        <w:drawing>
          <wp:inline distT="0" distB="0" distL="0" distR="0">
            <wp:extent cx="1409700" cy="685800"/>
            <wp:effectExtent l="0" t="0" r="0" b="0"/>
            <wp:docPr id="5" name="" descr=""/>
            <wp:cNvGraphicFramePr>
              <a:graphicFrameLocks noChangeAspect="true"/>
            </wp:cNvGraphicFramePr>
            <a:graphic>
              <a:graphicData uri="http://schemas.openxmlformats.org/drawingml/2006/picture">
                <pic:pic>
                  <pic:nvPicPr>
                    <pic:cNvPr id="6" name=""/>
                    <pic:cNvPicPr/>
                  </pic:nvPicPr>
                  <pic:blipFill>
                    <a:blip r:embed="rId5"/>
                    <a:stretch>
                      <a:fillRect/>
                    </a:stretch>
                  </pic:blipFill>
                  <pic:spPr>
                    <a:xfrm>
                      <a:off x="0" y="0"/>
                      <a:ext cx="2200275" cy="1028700"/>
                    </a:xfrm>
                    <a:prstGeom prst="rect">
                      <a:avLst/>
                    </a:prstGeom>
                  </pic:spPr>
                </pic:pic>
              </a:graphicData>
            </a:graphic>
          </wp:inline>
        </w:drawing>
      </w:r>
    </w:p>
    <w:p>
      <w:pPr>
        <w:spacing w:line="240" w:lineRule="auto"/>
        <w:ind w:left="0"/>
        <w:jc w:val="both"/>
      </w:pPr>
    </w:p>
    <w:p>
      <w:pPr>
        <w:spacing w:line="240" w:lineRule="auto"/>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海洋污染物（是</w:t>
      </w:r>
      <w:r>
        <w:rPr>
          <w:rFonts w:hint="eastAsia" w:ascii="Times New Roman,宋体" w:hAnsi="Times New Roman,宋体" w:eastAsia="Times New Roman,宋体"/>
          <w:b/>
          <w:noProof/>
          <w:sz w:val="21"/>
        </w:rPr>
        <w:t>/</w:t>
      </w:r>
      <w:r>
        <w:rPr>
          <w:rFonts w:hint="eastAsia" w:ascii="Times New Roman,宋体" w:hAnsi="Times New Roman,宋体" w:eastAsia="Times New Roman,宋体"/>
          <w:b/>
          <w:noProof/>
          <w:sz w:val="21"/>
        </w:rPr>
        <w:t>否）：</w:t>
      </w:r>
      <w:r>
        <w:rPr>
          <w:rFonts w:hint="eastAsia" w:ascii="Times New Roman,宋体" w:hAnsi="Times New Roman,宋体" w:eastAsia="Times New Roman,宋体"/>
          <w:noProof/>
          <w:sz w:val="21"/>
        </w:rPr>
        <w:t>否</w:t>
      </w:r>
    </w:p>
    <w:p>
      <w:pPr>
        <w:spacing w:line="240" w:lineRule="auto"/>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包装方法</w:t>
      </w:r>
    </w:p>
    <w:p>
      <w:pPr>
        <w:spacing w:line="240" w:lineRule="auto"/>
        <w:ind w:left="0"/>
        <w:jc w:val="both"/>
      </w:pPr>
      <w:r>
        <w:rPr>
          <w:rFonts w:hint="eastAsia" w:ascii="Times New Roman,宋体" w:hAnsi="Times New Roman,宋体" w:eastAsia="Times New Roman,宋体"/>
          <w:noProof/>
          <w:sz w:val="21"/>
        </w:rPr>
        <w:t>开口钢桶。安瓿瓶外普通木箱。螺纹口玻璃瓶、铁盖压口玻璃瓶、塑料瓶或金属桶（罐）外普通木箱等。螺纹口玻璃瓶、铁盖压口玻璃瓶、塑料瓶或金属桶（罐）外普通木箱。螺纹口玻璃瓶、塑料瓶或镀锡薄钢板桶（罐）外满底板花</w:t>
      </w:r>
      <w:r>
        <w:rPr>
          <w:rFonts w:hint="eastAsia" w:ascii="Times New Roman,宋体" w:hAnsi="Times New Roman,宋体" w:eastAsia="Times New Roman,宋体"/>
          <w:noProof/>
          <w:spacing w:val="-6"/>
          <w:sz w:val="21"/>
        </w:rPr>
        <w:t>格箱、纤维板箱或胶合板箱等。磨砂口玻璃瓶或螺纹口玻璃瓶外普通木箱。螺纹口玻璃瓶、塑料瓶或镀锡薄钢板桶</w:t>
      </w:r>
      <w:r>
        <w:rPr>
          <w:rFonts w:hint="eastAsia" w:ascii="Times New Roman,宋体" w:hAnsi="Times New Roman,宋体" w:eastAsia="Times New Roman,宋体"/>
          <w:noProof/>
          <w:sz w:val="21"/>
        </w:rPr>
        <w:t>（罐</w:t>
      </w:r>
      <w:r>
        <w:rPr>
          <w:rFonts w:hint="eastAsia" w:ascii="Times New Roman,宋体" w:hAnsi="Times New Roman,宋体" w:eastAsia="Times New Roman,宋体"/>
          <w:noProof/>
          <w:spacing w:val="-13"/>
          <w:sz w:val="21"/>
        </w:rPr>
        <w:t>）</w:t>
      </w:r>
      <w:r>
        <w:rPr>
          <w:rFonts w:hint="eastAsia" w:ascii="Times New Roman,宋体" w:hAnsi="Times New Roman,宋体" w:eastAsia="Times New Roman,宋体"/>
          <w:noProof/>
          <w:spacing w:val="-13"/>
          <w:sz w:val="21"/>
        </w:rPr>
        <w:t> </w:t>
      </w:r>
      <w:r>
        <w:rPr>
          <w:rFonts w:hint="eastAsia" w:ascii="Times New Roman,宋体" w:hAnsi="Times New Roman,宋体" w:eastAsia="Times New Roman,宋体"/>
          <w:noProof/>
          <w:sz w:val="21"/>
        </w:rPr>
        <w:t>外满底板花格箱、纤维板箱或胶合板箱等。按照生产商推荐的方法进行包装。</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运输注意事项</w:t>
      </w:r>
    </w:p>
    <w:p>
      <w:pPr>
        <w:spacing w:line="240" w:lineRule="auto"/>
        <w:ind w:left="0"/>
        <w:jc w:val="both"/>
      </w:pPr>
      <w:r>
        <w:rPr>
          <w:rFonts w:hint="eastAsia" w:ascii="Times New Roman,宋体" w:hAnsi="Times New Roman,宋体" w:eastAsia="Times New Roman,宋体"/>
          <w:noProof/>
          <w:sz w:val="21"/>
        </w:rPr>
        <w:t>严禁与酸类、碱类、氧化剂、食品及食品添加剂混运。运输途中应防曝晒、雨淋，防高温。运输时运输车辆应配备相应品种和数量的消防器材及泄漏应急处理设备。运输前应先检查包装容器是否完整、密封。运输工具上应根据相关运输要求张贴危险标志、公告。</w:t>
      </w:r>
    </w:p>
    <w:p>
      <w:pPr>
        <w:pStyle w:val="Heading1"/>
        <w:spacing w:before="200" w:after="200" w:line="240" w:lineRule="auto"/>
        <w:jc w:val="center"/>
      </w:pPr>
      <w:r>
        <w:rPr>
          <w:rFonts w:hint="eastAsia"/>
          <w:b/>
          <w:noProof/>
          <w:sz w:val="21"/>
        </w:rPr>
        <w:t>第十五部分</w:t>
      </w:r>
      <w:r>
        <w:rPr>
          <w:rFonts w:hint="eastAsia"/>
          <w:b/>
          <w:noProof/>
          <w:sz w:val="21"/>
        </w:rPr>
        <w:t>    法规信息</w:t>
      </w:r>
    </w:p>
    <w:p>
      <w:pPr>
        <w:pStyle w:val="Heading2"/>
        <w:spacing w:before="0" w:line="240" w:lineRule="auto"/>
        <w:ind w:left="0"/>
        <w:jc w:val="both"/>
      </w:pPr>
      <w:r>
        <w:rPr>
          <w:rFonts w:hint="eastAsia" w:ascii="Times New Roman,宋体" w:hAnsi="Times New Roman,宋体" w:eastAsia="Times New Roman,宋体"/>
          <w:b/>
          <w:noProof/>
          <w:sz w:val="21"/>
        </w:rPr>
        <w:t>| </w:t>
      </w:r>
      <w:r>
        <w:rPr>
          <w:rFonts w:hint="eastAsia" w:ascii="Times New Roman,宋体" w:hAnsi="Times New Roman,宋体" w:eastAsia="Times New Roman,宋体"/>
          <w:b/>
          <w:noProof/>
          <w:sz w:val="21"/>
        </w:rPr>
        <w:t>中国化学品管理名录</w:t>
      </w:r>
    </w:p>
    <w:tbl>
      <w:tblPr>
        <w:tblW w:w="5000" w:type="pct"/>
        <w:jc w:val="center"/>
      </w:tblPr>
      <w:tblGrid>
        <w:gridCol w:w="2490"/>
        <w:gridCol w:w="1005"/>
        <w:gridCol w:w="1005"/>
        <w:gridCol w:w="1005"/>
        <w:gridCol w:w="1005"/>
        <w:gridCol w:w="1005"/>
        <w:gridCol w:w="1005"/>
        <w:gridCol w:w="1005"/>
        <w:gridCol w:w="1005"/>
      </w:tblGrid>
      <w:tr>
        <w:trPr/>
        <w:tc>
          <w:tcPr>
            <w:cnfStyle w:val="001000000000"/>
            <w:tcW w:w="2490" w:type="dxa"/>
            <w:tcBorders>
              <w:top w:val="single" w:color="000000" w:sz="6"/>
              <w:left w:val="single" w:color="000000" w:sz="6"/>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组分</w:t>
            </w:r>
          </w:p>
        </w:tc>
        <w:tc>
          <w:tcPr>
            <w:cnfStyle w:val="001000000000"/>
            <w:tcW w:w="1005"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A</w:t>
            </w:r>
          </w:p>
        </w:tc>
        <w:tc>
          <w:tcPr>
            <w:cnfStyle w:val="001000000000"/>
            <w:tcW w:w="1005"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B</w:t>
            </w:r>
          </w:p>
        </w:tc>
        <w:tc>
          <w:tcPr>
            <w:cnfStyle w:val="001000000000"/>
            <w:tcW w:w="1005"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C</w:t>
            </w:r>
          </w:p>
        </w:tc>
        <w:tc>
          <w:tcPr>
            <w:cnfStyle w:val="001000000000"/>
            <w:tcW w:w="1005"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D</w:t>
            </w:r>
          </w:p>
        </w:tc>
        <w:tc>
          <w:tcPr>
            <w:cnfStyle w:val="001000000000"/>
            <w:tcW w:w="1005"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E</w:t>
            </w:r>
          </w:p>
        </w:tc>
        <w:tc>
          <w:tcPr>
            <w:cnfStyle w:val="001000000000"/>
            <w:tcW w:w="1005"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F</w:t>
            </w:r>
          </w:p>
        </w:tc>
        <w:tc>
          <w:tcPr>
            <w:cnfStyle w:val="001000000000"/>
            <w:tcW w:w="1005"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G</w:t>
            </w:r>
          </w:p>
        </w:tc>
        <w:tc>
          <w:tcPr>
            <w:cnfStyle w:val="001000000000"/>
            <w:tcW w:w="1005" w:type="dxa"/>
            <w:tcBorders>
              <w:top w:val="single" w:color="000000" w:sz="6"/>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H</w:t>
            </w:r>
          </w:p>
        </w:tc>
      </w:tr>
      <w:tr>
        <w:trPr/>
        <w:tc>
          <w:tcPr>
            <w:cnfStyle w:val="001000000000"/>
            <w:tcW w:w="2490" w:type="dxa"/>
            <w:tcBorders>
              <w:top/>
              <w:left w:val="single" w:color="000000" w:sz="6"/>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noProof/>
                <w:sz w:val="21"/>
              </w:rPr>
              <w:t>2-</w:t>
            </w:r>
            <w:r>
              <w:rPr>
                <w:rFonts w:hint="eastAsia" w:ascii="Times New Roman,宋体" w:hAnsi="Times New Roman,宋体" w:eastAsia="Times New Roman,宋体"/>
                <w:noProof/>
                <w:sz w:val="21"/>
              </w:rPr>
              <w:t>甲酚</w:t>
            </w:r>
          </w:p>
        </w:tc>
        <w:tc>
          <w:tcPr>
            <w:cnfStyle w:val="001000000000"/>
            <w:tcW w:w="1005"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列入</w:t>
            </w:r>
          </w:p>
        </w:tc>
        <w:tc>
          <w:tcPr>
            <w:cnfStyle w:val="001000000000"/>
            <w:tcW w:w="1005"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未列入</w:t>
            </w:r>
          </w:p>
        </w:tc>
        <w:tc>
          <w:tcPr>
            <w:cnfStyle w:val="001000000000"/>
            <w:tcW w:w="1005"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未列入</w:t>
            </w:r>
          </w:p>
        </w:tc>
        <w:tc>
          <w:tcPr>
            <w:cnfStyle w:val="001000000000"/>
            <w:tcW w:w="1005"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未列入</w:t>
            </w:r>
          </w:p>
        </w:tc>
        <w:tc>
          <w:tcPr>
            <w:cnfStyle w:val="001000000000"/>
            <w:tcW w:w="1005"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未列入</w:t>
            </w:r>
          </w:p>
        </w:tc>
        <w:tc>
          <w:tcPr>
            <w:cnfStyle w:val="001000000000"/>
            <w:tcW w:w="1005"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未列入</w:t>
            </w:r>
          </w:p>
        </w:tc>
        <w:tc>
          <w:tcPr>
            <w:cnfStyle w:val="001000000000"/>
            <w:tcW w:w="1005"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未列入</w:t>
            </w:r>
          </w:p>
        </w:tc>
        <w:tc>
          <w:tcPr>
            <w:cnfStyle w:val="001000000000"/>
            <w:tcW w:w="1005" w:type="dxa"/>
            <w:tcBorders>
              <w:top/>
              <w:left/>
              <w:bottom w:val="single" w:color="000000" w:sz="6"/>
              <w:right w:val="single" w:color="000000" w:sz="6"/>
            </w:tcBorders>
            <w:vAlign w:val="center"/>
          </w:tcPr>
          <w:p>
            <w:pPr>
              <w:spacing w:line="240" w:lineRule="auto"/>
              <w:ind w:left="0"/>
              <w:jc w:val="center"/>
            </w:pPr>
            <w:r>
              <w:rPr>
                <w:rFonts w:hint="eastAsia" w:ascii="Times New Roman,宋体" w:hAnsi="Times New Roman,宋体" w:eastAsia="Times New Roman,宋体"/>
                <w:b/>
                <w:noProof/>
                <w:sz w:val="21"/>
              </w:rPr>
              <w:t>未列入</w:t>
            </w:r>
          </w:p>
        </w:tc>
      </w:tr>
    </w:tbl>
    <w:p>
      <w:pPr>
        <w:spacing w:line="240" w:lineRule="auto"/>
        <w:jc w:val="both"/>
      </w:pP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A</w:t>
      </w:r>
      <w:r>
        <w:rPr>
          <w:rFonts w:hint="eastAsia" w:ascii="Times New Roman,宋体" w:hAnsi="Times New Roman,宋体" w:eastAsia="Times New Roman,宋体"/>
          <w:noProof/>
          <w:spacing w:val="1"/>
          <w:sz w:val="21"/>
        </w:rPr>
        <w:t>】</w:t>
      </w:r>
      <w:r>
        <w:rPr>
          <w:rFonts w:hint="eastAsia" w:ascii="Times New Roman,宋体" w:hAnsi="Times New Roman,宋体" w:eastAsia="Times New Roman,宋体"/>
          <w:noProof/>
          <w:spacing w:val="1"/>
          <w:sz w:val="21"/>
        </w:rPr>
        <w:t> </w:t>
      </w:r>
      <w:r>
        <w:rPr>
          <w:rFonts w:hint="eastAsia" w:ascii="Times New Roman,宋体" w:hAnsi="Times New Roman,宋体" w:eastAsia="Times New Roman,宋体"/>
          <w:noProof/>
          <w:spacing w:val="1"/>
          <w:sz w:val="21"/>
        </w:rPr>
        <w:t>《危险化学品目录</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2015</w:t>
      </w:r>
      <w:r>
        <w:rPr>
          <w:rFonts w:hint="eastAsia" w:ascii="Times New Roman,宋体" w:hAnsi="Times New Roman,宋体" w:eastAsia="Times New Roman,宋体"/>
          <w:noProof/>
          <w:spacing w:val="-3"/>
          <w:sz w:val="21"/>
        </w:rPr>
        <w:t> </w:t>
      </w:r>
      <w:r>
        <w:rPr>
          <w:rFonts w:hint="eastAsia" w:ascii="Times New Roman,宋体" w:hAnsi="Times New Roman,宋体" w:eastAsia="Times New Roman,宋体"/>
          <w:noProof/>
          <w:spacing w:val="-3"/>
          <w:sz w:val="21"/>
        </w:rPr>
        <w:t>年版</w:t>
      </w:r>
      <w:r>
        <w:rPr>
          <w:rFonts w:hint="eastAsia" w:ascii="Times New Roman,宋体" w:hAnsi="Times New Roman,宋体" w:eastAsia="Times New Roman,宋体"/>
          <w:noProof/>
          <w:spacing w:val="-92"/>
          <w:sz w:val="21"/>
        </w:rPr>
        <w:t>）</w:t>
      </w:r>
      <w:r>
        <w:rPr>
          <w:rFonts w:hint="eastAsia" w:ascii="Times New Roman,宋体" w:hAnsi="Times New Roman,宋体" w:eastAsia="Times New Roman,宋体"/>
          <w:noProof/>
          <w:spacing w:val="-16"/>
          <w:sz w:val="21"/>
        </w:rPr>
        <w:t>》，安监总局</w:t>
      </w:r>
      <w:r>
        <w:rPr>
          <w:rFonts w:hint="eastAsia" w:ascii="Times New Roman,宋体" w:hAnsi="Times New Roman,宋体" w:eastAsia="Times New Roman,宋体"/>
          <w:noProof/>
          <w:spacing w:val="-16"/>
          <w:sz w:val="21"/>
        </w:rPr>
        <w:t> </w:t>
      </w:r>
      <w:r>
        <w:rPr>
          <w:rFonts w:hint="eastAsia" w:ascii="Times New Roman,宋体" w:hAnsi="Times New Roman,宋体" w:eastAsia="Times New Roman,宋体"/>
          <w:noProof/>
          <w:sz w:val="21"/>
        </w:rPr>
        <w:t>2015</w:t>
      </w:r>
      <w:r>
        <w:rPr>
          <w:rFonts w:hint="eastAsia" w:ascii="Times New Roman,宋体" w:hAnsi="Times New Roman,宋体" w:eastAsia="Times New Roman,宋体"/>
          <w:noProof/>
          <w:spacing w:val="-5"/>
          <w:sz w:val="21"/>
        </w:rPr>
        <w:t> </w:t>
      </w:r>
      <w:r>
        <w:rPr>
          <w:rFonts w:hint="eastAsia" w:ascii="Times New Roman,宋体" w:hAnsi="Times New Roman,宋体" w:eastAsia="Times New Roman,宋体"/>
          <w:noProof/>
          <w:spacing w:val="-5"/>
          <w:sz w:val="21"/>
        </w:rPr>
        <w:t>年第</w:t>
      </w:r>
      <w:r>
        <w:rPr>
          <w:rFonts w:hint="eastAsia" w:ascii="Times New Roman,宋体" w:hAnsi="Times New Roman,宋体" w:eastAsia="Times New Roman,宋体"/>
          <w:noProof/>
          <w:spacing w:val="-5"/>
          <w:sz w:val="21"/>
        </w:rPr>
        <w:t> </w:t>
      </w:r>
      <w:r>
        <w:rPr>
          <w:rFonts w:hint="eastAsia" w:ascii="Times New Roman,宋体" w:hAnsi="Times New Roman,宋体" w:eastAsia="Times New Roman,宋体"/>
          <w:noProof/>
          <w:sz w:val="21"/>
        </w:rPr>
        <w:t>5</w:t>
      </w:r>
      <w:r>
        <w:rPr>
          <w:rFonts w:hint="eastAsia" w:ascii="Times New Roman,宋体" w:hAnsi="Times New Roman,宋体" w:eastAsia="Times New Roman,宋体"/>
          <w:noProof/>
          <w:spacing w:val="-3"/>
          <w:sz w:val="21"/>
        </w:rPr>
        <w:t> </w:t>
      </w:r>
      <w:r>
        <w:rPr>
          <w:rFonts w:hint="eastAsia" w:ascii="Times New Roman,宋体" w:hAnsi="Times New Roman,宋体" w:eastAsia="Times New Roman,宋体"/>
          <w:noProof/>
          <w:spacing w:val="-3"/>
          <w:sz w:val="21"/>
        </w:rPr>
        <w:t>号公告</w:t>
      </w:r>
    </w:p>
    <w:p>
      <w:pPr>
        <w:spacing w:line="240" w:lineRule="auto"/>
        <w:jc w:val="both"/>
      </w:pP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B</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 </w:t>
      </w:r>
      <w:r>
        <w:rPr>
          <w:rFonts w:hint="eastAsia" w:ascii="Times New Roman,宋体" w:hAnsi="Times New Roman,宋体" w:eastAsia="Times New Roman,宋体"/>
          <w:noProof/>
          <w:sz w:val="21"/>
        </w:rPr>
        <w:t>《重点环境管理危险化学品目录》，环保部办公厅</w:t>
      </w:r>
      <w:r>
        <w:rPr>
          <w:rFonts w:hint="eastAsia" w:ascii="Times New Roman,宋体" w:hAnsi="Times New Roman,宋体" w:eastAsia="Times New Roman,宋体"/>
          <w:noProof/>
          <w:sz w:val="21"/>
        </w:rPr>
        <w:t> 2014 </w:t>
      </w:r>
      <w:r>
        <w:rPr>
          <w:rFonts w:hint="eastAsia" w:ascii="Times New Roman,宋体" w:hAnsi="Times New Roman,宋体" w:eastAsia="Times New Roman,宋体"/>
          <w:noProof/>
          <w:sz w:val="21"/>
        </w:rPr>
        <w:t>年第</w:t>
      </w:r>
      <w:r>
        <w:rPr>
          <w:rFonts w:hint="eastAsia" w:ascii="Times New Roman,宋体" w:hAnsi="Times New Roman,宋体" w:eastAsia="Times New Roman,宋体"/>
          <w:noProof/>
          <w:sz w:val="21"/>
        </w:rPr>
        <w:t> 33 </w:t>
      </w:r>
      <w:r>
        <w:rPr>
          <w:rFonts w:hint="eastAsia" w:ascii="Times New Roman,宋体" w:hAnsi="Times New Roman,宋体" w:eastAsia="Times New Roman,宋体"/>
          <w:noProof/>
          <w:sz w:val="21"/>
        </w:rPr>
        <w:t>号文</w:t>
      </w:r>
    </w:p>
    <w:p>
      <w:pPr>
        <w:spacing w:line="240" w:lineRule="auto"/>
        <w:jc w:val="both"/>
      </w:pP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C</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 </w:t>
      </w:r>
      <w:r>
        <w:rPr>
          <w:rFonts w:hint="eastAsia" w:ascii="Times New Roman,宋体" w:hAnsi="Times New Roman,宋体" w:eastAsia="Times New Roman,宋体"/>
          <w:noProof/>
          <w:sz w:val="21"/>
        </w:rPr>
        <w:t>《中国严格限制进出口的有毒化学品目录》，环保部</w:t>
      </w:r>
      <w:r>
        <w:rPr>
          <w:rFonts w:hint="eastAsia" w:ascii="Times New Roman,宋体" w:hAnsi="Times New Roman,宋体" w:eastAsia="Times New Roman,宋体"/>
          <w:noProof/>
          <w:sz w:val="21"/>
        </w:rPr>
        <w:t> 2013 </w:t>
      </w:r>
      <w:r>
        <w:rPr>
          <w:rFonts w:hint="eastAsia" w:ascii="Times New Roman,宋体" w:hAnsi="Times New Roman,宋体" w:eastAsia="Times New Roman,宋体"/>
          <w:noProof/>
          <w:sz w:val="21"/>
        </w:rPr>
        <w:t>年第</w:t>
      </w:r>
      <w:r>
        <w:rPr>
          <w:rFonts w:hint="eastAsia" w:ascii="Times New Roman,宋体" w:hAnsi="Times New Roman,宋体" w:eastAsia="Times New Roman,宋体"/>
          <w:noProof/>
          <w:sz w:val="21"/>
        </w:rPr>
        <w:t> 85 </w:t>
      </w:r>
      <w:r>
        <w:rPr>
          <w:rFonts w:hint="eastAsia" w:ascii="Times New Roman,宋体" w:hAnsi="Times New Roman,宋体" w:eastAsia="Times New Roman,宋体"/>
          <w:noProof/>
          <w:sz w:val="21"/>
        </w:rPr>
        <w:t>号公告</w:t>
      </w:r>
    </w:p>
    <w:p>
      <w:pPr>
        <w:spacing w:line="240" w:lineRule="auto"/>
        <w:jc w:val="both"/>
      </w:pP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D</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 </w:t>
      </w:r>
      <w:r>
        <w:rPr>
          <w:rFonts w:hint="eastAsia" w:ascii="Times New Roman,宋体" w:hAnsi="Times New Roman,宋体" w:eastAsia="Times New Roman,宋体"/>
          <w:noProof/>
          <w:sz w:val="21"/>
        </w:rPr>
        <w:t>《麻醉药品和精神药品品种目录（</w:t>
      </w:r>
      <w:r>
        <w:rPr>
          <w:rFonts w:hint="eastAsia" w:ascii="Times New Roman,宋体" w:hAnsi="Times New Roman,宋体" w:eastAsia="Times New Roman,宋体"/>
          <w:noProof/>
          <w:sz w:val="21"/>
        </w:rPr>
        <w:t>2013</w:t>
      </w:r>
      <w:r>
        <w:rPr>
          <w:rFonts w:hint="eastAsia" w:ascii="Times New Roman,宋体" w:hAnsi="Times New Roman,宋体" w:eastAsia="Times New Roman,宋体"/>
          <w:noProof/>
          <w:spacing w:val="-3"/>
          <w:sz w:val="21"/>
        </w:rPr>
        <w:t> </w:t>
      </w:r>
      <w:r>
        <w:rPr>
          <w:rFonts w:hint="eastAsia" w:ascii="Times New Roman,宋体" w:hAnsi="Times New Roman,宋体" w:eastAsia="Times New Roman,宋体"/>
          <w:noProof/>
          <w:spacing w:val="-3"/>
          <w:sz w:val="21"/>
        </w:rPr>
        <w:t>年版</w:t>
      </w:r>
      <w:r>
        <w:rPr>
          <w:rFonts w:hint="eastAsia" w:ascii="Times New Roman,宋体" w:hAnsi="Times New Roman,宋体" w:eastAsia="Times New Roman,宋体"/>
          <w:noProof/>
          <w:spacing w:val="-92"/>
          <w:sz w:val="21"/>
        </w:rPr>
        <w:t>）</w:t>
      </w:r>
      <w:r>
        <w:rPr>
          <w:rFonts w:hint="eastAsia" w:ascii="Times New Roman,宋体" w:hAnsi="Times New Roman,宋体" w:eastAsia="Times New Roman,宋体"/>
          <w:noProof/>
          <w:spacing w:val="-16"/>
          <w:sz w:val="21"/>
        </w:rPr>
        <w:t>》，食药总局</w:t>
      </w:r>
      <w:r>
        <w:rPr>
          <w:rFonts w:hint="eastAsia" w:ascii="Times New Roman,宋体" w:hAnsi="Times New Roman,宋体" w:eastAsia="Times New Roman,宋体"/>
          <w:noProof/>
          <w:spacing w:val="-16"/>
          <w:sz w:val="21"/>
        </w:rPr>
        <w:t> </w:t>
      </w:r>
      <w:r>
        <w:rPr>
          <w:rFonts w:hint="eastAsia" w:ascii="Times New Roman,宋体" w:hAnsi="Times New Roman,宋体" w:eastAsia="Times New Roman,宋体"/>
          <w:noProof/>
          <w:sz w:val="21"/>
        </w:rPr>
        <w:t>2013</w:t>
      </w:r>
      <w:r>
        <w:rPr>
          <w:rFonts w:hint="eastAsia" w:ascii="Times New Roman,宋体" w:hAnsi="Times New Roman,宋体" w:eastAsia="Times New Roman,宋体"/>
          <w:noProof/>
          <w:spacing w:val="-5"/>
          <w:sz w:val="21"/>
        </w:rPr>
        <w:t> </w:t>
      </w:r>
      <w:r>
        <w:rPr>
          <w:rFonts w:hint="eastAsia" w:ascii="Times New Roman,宋体" w:hAnsi="Times New Roman,宋体" w:eastAsia="Times New Roman,宋体"/>
          <w:noProof/>
          <w:spacing w:val="-5"/>
          <w:sz w:val="21"/>
        </w:rPr>
        <w:t>年第</w:t>
      </w:r>
      <w:r>
        <w:rPr>
          <w:rFonts w:hint="eastAsia" w:ascii="Times New Roman,宋体" w:hAnsi="Times New Roman,宋体" w:eastAsia="Times New Roman,宋体"/>
          <w:noProof/>
          <w:spacing w:val="-5"/>
          <w:sz w:val="21"/>
        </w:rPr>
        <w:t> </w:t>
      </w:r>
      <w:r>
        <w:rPr>
          <w:rFonts w:hint="eastAsia" w:ascii="Times New Roman,宋体" w:hAnsi="Times New Roman,宋体" w:eastAsia="Times New Roman,宋体"/>
          <w:noProof/>
          <w:sz w:val="21"/>
        </w:rPr>
        <w:t>230</w:t>
      </w:r>
      <w:r>
        <w:rPr>
          <w:rFonts w:hint="eastAsia" w:ascii="Times New Roman,宋体" w:hAnsi="Times New Roman,宋体" w:eastAsia="Times New Roman,宋体"/>
          <w:noProof/>
          <w:spacing w:val="-3"/>
          <w:sz w:val="21"/>
        </w:rPr>
        <w:t> </w:t>
      </w:r>
      <w:r>
        <w:rPr>
          <w:rFonts w:hint="eastAsia" w:ascii="Times New Roman,宋体" w:hAnsi="Times New Roman,宋体" w:eastAsia="Times New Roman,宋体"/>
          <w:noProof/>
          <w:spacing w:val="-3"/>
          <w:sz w:val="21"/>
        </w:rPr>
        <w:t>号通知</w:t>
      </w:r>
    </w:p>
    <w:p>
      <w:pPr>
        <w:spacing w:line="240" w:lineRule="auto"/>
        <w:jc w:val="both"/>
      </w:pP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E</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 </w:t>
      </w:r>
      <w:r>
        <w:rPr>
          <w:rFonts w:hint="eastAsia" w:ascii="Times New Roman,宋体" w:hAnsi="Times New Roman,宋体" w:eastAsia="Times New Roman,宋体"/>
          <w:noProof/>
          <w:sz w:val="21"/>
        </w:rPr>
        <w:t>《重点监管的危险化学品名录（</w:t>
      </w:r>
      <w:r>
        <w:rPr>
          <w:rFonts w:hint="eastAsia" w:ascii="Times New Roman,宋体" w:hAnsi="Times New Roman,宋体" w:eastAsia="Times New Roman,宋体"/>
          <w:noProof/>
          <w:spacing w:val="-4"/>
          <w:sz w:val="21"/>
        </w:rPr>
        <w:t>第</w:t>
      </w:r>
      <w:r>
        <w:rPr>
          <w:rFonts w:hint="eastAsia" w:ascii="Times New Roman,宋体" w:hAnsi="Times New Roman,宋体" w:eastAsia="Times New Roman,宋体"/>
          <w:noProof/>
          <w:spacing w:val="-4"/>
          <w:sz w:val="21"/>
        </w:rPr>
        <w:t> </w:t>
      </w:r>
      <w:r>
        <w:rPr>
          <w:rFonts w:hint="eastAsia" w:ascii="Times New Roman,宋体" w:hAnsi="Times New Roman,宋体" w:eastAsia="Times New Roman,宋体"/>
          <w:noProof/>
          <w:sz w:val="21"/>
        </w:rPr>
        <w:t>1</w:t>
      </w:r>
      <w:r>
        <w:rPr>
          <w:rFonts w:hint="eastAsia" w:ascii="Times New Roman,宋体" w:hAnsi="Times New Roman,宋体" w:eastAsia="Times New Roman,宋体"/>
          <w:noProof/>
          <w:spacing w:val="-5"/>
          <w:sz w:val="21"/>
        </w:rPr>
        <w:t> </w:t>
      </w:r>
      <w:r>
        <w:rPr>
          <w:rFonts w:hint="eastAsia" w:ascii="Times New Roman,宋体" w:hAnsi="Times New Roman,宋体" w:eastAsia="Times New Roman,宋体"/>
          <w:noProof/>
          <w:spacing w:val="-5"/>
          <w:sz w:val="21"/>
        </w:rPr>
        <w:t>和第</w:t>
      </w:r>
      <w:r>
        <w:rPr>
          <w:rFonts w:hint="eastAsia" w:ascii="Times New Roman,宋体" w:hAnsi="Times New Roman,宋体" w:eastAsia="Times New Roman,宋体"/>
          <w:noProof/>
          <w:spacing w:val="-5"/>
          <w:sz w:val="21"/>
        </w:rPr>
        <w:t> </w:t>
      </w:r>
      <w:r>
        <w:rPr>
          <w:rFonts w:hint="eastAsia" w:ascii="Times New Roman,宋体" w:hAnsi="Times New Roman,宋体" w:eastAsia="Times New Roman,宋体"/>
          <w:noProof/>
          <w:sz w:val="21"/>
        </w:rPr>
        <w:t>2</w:t>
      </w:r>
      <w:r>
        <w:rPr>
          <w:rFonts w:hint="eastAsia" w:ascii="Times New Roman,宋体" w:hAnsi="Times New Roman,宋体" w:eastAsia="Times New Roman,宋体"/>
          <w:noProof/>
          <w:spacing w:val="-4"/>
          <w:sz w:val="21"/>
        </w:rPr>
        <w:t> </w:t>
      </w:r>
      <w:r>
        <w:rPr>
          <w:rFonts w:hint="eastAsia" w:ascii="Times New Roman,宋体" w:hAnsi="Times New Roman,宋体" w:eastAsia="Times New Roman,宋体"/>
          <w:noProof/>
          <w:spacing w:val="-4"/>
          <w:sz w:val="21"/>
        </w:rPr>
        <w:t>批</w:t>
      </w:r>
      <w:r>
        <w:rPr>
          <w:rFonts w:hint="eastAsia" w:ascii="Times New Roman,宋体" w:hAnsi="Times New Roman,宋体" w:eastAsia="Times New Roman,宋体"/>
          <w:noProof/>
          <w:spacing w:val="-92"/>
          <w:sz w:val="21"/>
        </w:rPr>
        <w:t>）</w:t>
      </w:r>
      <w:r>
        <w:rPr>
          <w:rFonts w:hint="eastAsia" w:ascii="Times New Roman,宋体" w:hAnsi="Times New Roman,宋体" w:eastAsia="Times New Roman,宋体"/>
          <w:noProof/>
          <w:spacing w:val="-16"/>
          <w:sz w:val="21"/>
        </w:rPr>
        <w:t>》，安监总局</w:t>
      </w:r>
      <w:r>
        <w:rPr>
          <w:rFonts w:hint="eastAsia" w:ascii="Times New Roman,宋体" w:hAnsi="Times New Roman,宋体" w:eastAsia="Times New Roman,宋体"/>
          <w:noProof/>
          <w:spacing w:val="-16"/>
          <w:sz w:val="21"/>
        </w:rPr>
        <w:t> </w:t>
      </w:r>
      <w:r>
        <w:rPr>
          <w:rFonts w:hint="eastAsia" w:ascii="Times New Roman,宋体" w:hAnsi="Times New Roman,宋体" w:eastAsia="Times New Roman,宋体"/>
          <w:noProof/>
          <w:sz w:val="21"/>
        </w:rPr>
        <w:t>2011</w:t>
      </w:r>
      <w:r>
        <w:rPr>
          <w:rFonts w:hint="eastAsia" w:ascii="Times New Roman,宋体" w:hAnsi="Times New Roman,宋体" w:eastAsia="Times New Roman,宋体"/>
          <w:noProof/>
          <w:spacing w:val="-5"/>
          <w:sz w:val="21"/>
        </w:rPr>
        <w:t> </w:t>
      </w:r>
      <w:r>
        <w:rPr>
          <w:rFonts w:hint="eastAsia" w:ascii="Times New Roman,宋体" w:hAnsi="Times New Roman,宋体" w:eastAsia="Times New Roman,宋体"/>
          <w:noProof/>
          <w:spacing w:val="-5"/>
          <w:sz w:val="21"/>
        </w:rPr>
        <w:t>年第</w:t>
      </w:r>
      <w:r>
        <w:rPr>
          <w:rFonts w:hint="eastAsia" w:ascii="Times New Roman,宋体" w:hAnsi="Times New Roman,宋体" w:eastAsia="Times New Roman,宋体"/>
          <w:noProof/>
          <w:spacing w:val="-5"/>
          <w:sz w:val="21"/>
        </w:rPr>
        <w:t> </w:t>
      </w:r>
      <w:r>
        <w:rPr>
          <w:rFonts w:hint="eastAsia" w:ascii="Times New Roman,宋体" w:hAnsi="Times New Roman,宋体" w:eastAsia="Times New Roman,宋体"/>
          <w:noProof/>
          <w:sz w:val="21"/>
        </w:rPr>
        <w:t>95</w:t>
      </w:r>
      <w:r>
        <w:rPr>
          <w:rFonts w:hint="eastAsia" w:ascii="Times New Roman,宋体" w:hAnsi="Times New Roman,宋体" w:eastAsia="Times New Roman,宋体"/>
          <w:noProof/>
          <w:spacing w:val="-5"/>
          <w:sz w:val="21"/>
        </w:rPr>
        <w:t> </w:t>
      </w:r>
      <w:r>
        <w:rPr>
          <w:rFonts w:hint="eastAsia" w:ascii="Times New Roman,宋体" w:hAnsi="Times New Roman,宋体" w:eastAsia="Times New Roman,宋体"/>
          <w:noProof/>
          <w:spacing w:val="-5"/>
          <w:sz w:val="21"/>
        </w:rPr>
        <w:t>号和</w:t>
      </w:r>
      <w:r>
        <w:rPr>
          <w:rFonts w:hint="eastAsia" w:ascii="Times New Roman,宋体" w:hAnsi="Times New Roman,宋体" w:eastAsia="Times New Roman,宋体"/>
          <w:noProof/>
          <w:spacing w:val="-5"/>
          <w:sz w:val="21"/>
        </w:rPr>
        <w:t> </w:t>
      </w:r>
      <w:r>
        <w:rPr>
          <w:rFonts w:hint="eastAsia" w:ascii="Times New Roman,宋体" w:hAnsi="Times New Roman,宋体" w:eastAsia="Times New Roman,宋体"/>
          <w:noProof/>
          <w:sz w:val="21"/>
        </w:rPr>
        <w:t>2013</w:t>
      </w:r>
      <w:r>
        <w:rPr>
          <w:rFonts w:hint="eastAsia" w:ascii="Times New Roman,宋体" w:hAnsi="Times New Roman,宋体" w:eastAsia="Times New Roman,宋体"/>
          <w:noProof/>
          <w:spacing w:val="-5"/>
          <w:sz w:val="21"/>
        </w:rPr>
        <w:t> </w:t>
      </w:r>
      <w:r>
        <w:rPr>
          <w:rFonts w:hint="eastAsia" w:ascii="Times New Roman,宋体" w:hAnsi="Times New Roman,宋体" w:eastAsia="Times New Roman,宋体"/>
          <w:noProof/>
          <w:spacing w:val="-5"/>
          <w:sz w:val="21"/>
        </w:rPr>
        <w:t>年第</w:t>
      </w:r>
      <w:r>
        <w:rPr>
          <w:rFonts w:hint="eastAsia" w:ascii="Times New Roman,宋体" w:hAnsi="Times New Roman,宋体" w:eastAsia="Times New Roman,宋体"/>
          <w:noProof/>
          <w:spacing w:val="-5"/>
          <w:sz w:val="21"/>
        </w:rPr>
        <w:t> </w:t>
      </w:r>
      <w:r>
        <w:rPr>
          <w:rFonts w:hint="eastAsia" w:ascii="Times New Roman,宋体" w:hAnsi="Times New Roman,宋体" w:eastAsia="Times New Roman,宋体"/>
          <w:noProof/>
          <w:sz w:val="21"/>
        </w:rPr>
        <w:t>12</w:t>
      </w:r>
      <w:r>
        <w:rPr>
          <w:rFonts w:hint="eastAsia" w:ascii="Times New Roman,宋体" w:hAnsi="Times New Roman,宋体" w:eastAsia="Times New Roman,宋体"/>
          <w:noProof/>
          <w:spacing w:val="-3"/>
          <w:sz w:val="21"/>
        </w:rPr>
        <w:t> </w:t>
      </w:r>
      <w:r>
        <w:rPr>
          <w:rFonts w:hint="eastAsia" w:ascii="Times New Roman,宋体" w:hAnsi="Times New Roman,宋体" w:eastAsia="Times New Roman,宋体"/>
          <w:noProof/>
          <w:spacing w:val="-3"/>
          <w:sz w:val="21"/>
        </w:rPr>
        <w:t>号通知</w:t>
      </w:r>
    </w:p>
    <w:p>
      <w:pPr>
        <w:spacing w:line="240" w:lineRule="auto"/>
        <w:jc w:val="both"/>
      </w:pP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F</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 </w:t>
      </w:r>
      <w:r>
        <w:rPr>
          <w:rFonts w:hint="eastAsia" w:ascii="Times New Roman,宋体" w:hAnsi="Times New Roman,宋体" w:eastAsia="Times New Roman,宋体"/>
          <w:noProof/>
          <w:sz w:val="21"/>
        </w:rPr>
        <w:t>《中国进出口受控消耗臭氧层物质名录（</w:t>
      </w:r>
      <w:r>
        <w:rPr>
          <w:rFonts w:hint="eastAsia" w:ascii="Times New Roman,宋体" w:hAnsi="Times New Roman,宋体" w:eastAsia="Times New Roman,宋体"/>
          <w:noProof/>
          <w:spacing w:val="-4"/>
          <w:sz w:val="21"/>
        </w:rPr>
        <w:t>第</w:t>
      </w:r>
      <w:r>
        <w:rPr>
          <w:rFonts w:hint="eastAsia" w:ascii="Times New Roman,宋体" w:hAnsi="Times New Roman,宋体" w:eastAsia="Times New Roman,宋体"/>
          <w:noProof/>
          <w:spacing w:val="-4"/>
          <w:sz w:val="21"/>
        </w:rPr>
        <w:t> </w:t>
      </w:r>
      <w:r>
        <w:rPr>
          <w:rFonts w:hint="eastAsia" w:ascii="Times New Roman,宋体" w:hAnsi="Times New Roman,宋体" w:eastAsia="Times New Roman,宋体"/>
          <w:noProof/>
          <w:sz w:val="21"/>
        </w:rPr>
        <w:t>1</w:t>
      </w:r>
      <w:r>
        <w:rPr>
          <w:rFonts w:hint="eastAsia" w:ascii="Times New Roman,宋体" w:hAnsi="Times New Roman,宋体" w:eastAsia="Times New Roman,宋体"/>
          <w:noProof/>
          <w:spacing w:val="-6"/>
          <w:sz w:val="21"/>
        </w:rPr>
        <w:t> </w:t>
      </w:r>
      <w:r>
        <w:rPr>
          <w:rFonts w:hint="eastAsia" w:ascii="Times New Roman,宋体" w:hAnsi="Times New Roman,宋体" w:eastAsia="Times New Roman,宋体"/>
          <w:noProof/>
          <w:spacing w:val="-6"/>
          <w:sz w:val="21"/>
        </w:rPr>
        <w:t>到</w:t>
      </w:r>
      <w:r>
        <w:rPr>
          <w:rFonts w:hint="eastAsia" w:ascii="Times New Roman,宋体" w:hAnsi="Times New Roman,宋体" w:eastAsia="Times New Roman,宋体"/>
          <w:noProof/>
          <w:spacing w:val="-6"/>
          <w:sz w:val="21"/>
        </w:rPr>
        <w:t> </w:t>
      </w:r>
      <w:r>
        <w:rPr>
          <w:rFonts w:hint="eastAsia" w:ascii="Times New Roman,宋体" w:hAnsi="Times New Roman,宋体" w:eastAsia="Times New Roman,宋体"/>
          <w:noProof/>
          <w:sz w:val="21"/>
        </w:rPr>
        <w:t>6</w:t>
      </w:r>
      <w:r>
        <w:rPr>
          <w:rFonts w:hint="eastAsia" w:ascii="Times New Roman,宋体" w:hAnsi="Times New Roman,宋体" w:eastAsia="Times New Roman,宋体"/>
          <w:noProof/>
          <w:spacing w:val="-6"/>
          <w:sz w:val="21"/>
        </w:rPr>
        <w:t> </w:t>
      </w:r>
      <w:r>
        <w:rPr>
          <w:rFonts w:hint="eastAsia" w:ascii="Times New Roman,宋体" w:hAnsi="Times New Roman,宋体" w:eastAsia="Times New Roman,宋体"/>
          <w:noProof/>
          <w:spacing w:val="-6"/>
          <w:sz w:val="21"/>
        </w:rPr>
        <w:t>批</w:t>
      </w:r>
      <w:r>
        <w:rPr>
          <w:rFonts w:hint="eastAsia" w:ascii="Times New Roman,宋体" w:hAnsi="Times New Roman,宋体" w:eastAsia="Times New Roman,宋体"/>
          <w:noProof/>
          <w:spacing w:val="-92"/>
          <w:sz w:val="21"/>
        </w:rPr>
        <w:t>）</w:t>
      </w:r>
      <w:r>
        <w:rPr>
          <w:rFonts w:hint="eastAsia" w:ascii="Times New Roman,宋体" w:hAnsi="Times New Roman,宋体" w:eastAsia="Times New Roman,宋体"/>
          <w:noProof/>
          <w:spacing w:val="-18"/>
          <w:sz w:val="21"/>
        </w:rPr>
        <w:t>》，环保部</w:t>
      </w:r>
      <w:r>
        <w:rPr>
          <w:rFonts w:hint="eastAsia" w:ascii="Times New Roman,宋体" w:hAnsi="Times New Roman,宋体" w:eastAsia="Times New Roman,宋体"/>
          <w:noProof/>
          <w:spacing w:val="-18"/>
          <w:sz w:val="21"/>
        </w:rPr>
        <w:t> </w:t>
      </w:r>
      <w:r>
        <w:rPr>
          <w:rFonts w:hint="eastAsia" w:ascii="Times New Roman,宋体" w:hAnsi="Times New Roman,宋体" w:eastAsia="Times New Roman,宋体"/>
          <w:noProof/>
          <w:sz w:val="21"/>
        </w:rPr>
        <w:t>2000</w:t>
      </w:r>
      <w:r>
        <w:rPr>
          <w:rFonts w:hint="eastAsia" w:ascii="Times New Roman,宋体" w:hAnsi="Times New Roman,宋体" w:eastAsia="Times New Roman,宋体"/>
          <w:noProof/>
          <w:spacing w:val="-5"/>
          <w:sz w:val="21"/>
        </w:rPr>
        <w:t> </w:t>
      </w:r>
      <w:r>
        <w:rPr>
          <w:rFonts w:hint="eastAsia" w:ascii="Times New Roman,宋体" w:hAnsi="Times New Roman,宋体" w:eastAsia="Times New Roman,宋体"/>
          <w:noProof/>
          <w:spacing w:val="-5"/>
          <w:sz w:val="21"/>
        </w:rPr>
        <w:t>年至</w:t>
      </w:r>
      <w:r>
        <w:rPr>
          <w:rFonts w:hint="eastAsia" w:ascii="Times New Roman,宋体" w:hAnsi="Times New Roman,宋体" w:eastAsia="Times New Roman,宋体"/>
          <w:noProof/>
          <w:spacing w:val="-5"/>
          <w:sz w:val="21"/>
        </w:rPr>
        <w:t> </w:t>
      </w:r>
      <w:r>
        <w:rPr>
          <w:rFonts w:hint="eastAsia" w:ascii="Times New Roman,宋体" w:hAnsi="Times New Roman,宋体" w:eastAsia="Times New Roman,宋体"/>
          <w:noProof/>
          <w:sz w:val="21"/>
        </w:rPr>
        <w:t>2012</w:t>
      </w:r>
      <w:r>
        <w:rPr>
          <w:rFonts w:hint="eastAsia" w:ascii="Times New Roman,宋体" w:hAnsi="Times New Roman,宋体" w:eastAsia="Times New Roman,宋体"/>
          <w:noProof/>
          <w:spacing w:val="-3"/>
          <w:sz w:val="21"/>
        </w:rPr>
        <w:t> </w:t>
      </w:r>
      <w:r>
        <w:rPr>
          <w:rFonts w:hint="eastAsia" w:ascii="Times New Roman,宋体" w:hAnsi="Times New Roman,宋体" w:eastAsia="Times New Roman,宋体"/>
          <w:noProof/>
          <w:spacing w:val="-3"/>
          <w:sz w:val="21"/>
        </w:rPr>
        <w:t>系列公告</w:t>
      </w:r>
    </w:p>
    <w:p>
      <w:pPr>
        <w:spacing w:line="240" w:lineRule="auto"/>
        <w:jc w:val="both"/>
      </w:pP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G</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 </w:t>
      </w:r>
      <w:r>
        <w:rPr>
          <w:rFonts w:hint="eastAsia" w:ascii="Times New Roman,宋体" w:hAnsi="Times New Roman,宋体" w:eastAsia="Times New Roman,宋体"/>
          <w:noProof/>
          <w:sz w:val="21"/>
        </w:rPr>
        <w:t>《易制爆危险化学品名录（</w:t>
      </w:r>
      <w:r>
        <w:rPr>
          <w:rFonts w:hint="eastAsia" w:ascii="Times New Roman,宋体" w:hAnsi="Times New Roman,宋体" w:eastAsia="Times New Roman,宋体"/>
          <w:noProof/>
          <w:sz w:val="21"/>
        </w:rPr>
        <w:t>201</w:t>
      </w:r>
      <w:r>
        <w:rPr>
          <w:rFonts w:hint="eastAsia" w:ascii="Times New Roman,宋体" w:hAnsi="Times New Roman,宋体" w:eastAsia="Times New Roman,宋体"/>
          <w:noProof/>
          <w:sz w:val="21"/>
        </w:rPr>
        <w:t>7</w:t>
      </w:r>
      <w:r>
        <w:rPr>
          <w:rFonts w:hint="eastAsia" w:ascii="Times New Roman,宋体" w:hAnsi="Times New Roman,宋体" w:eastAsia="Times New Roman,宋体"/>
          <w:noProof/>
          <w:spacing w:val="-3"/>
          <w:sz w:val="21"/>
        </w:rPr>
        <w:t>年版</w:t>
      </w:r>
      <w:r>
        <w:rPr>
          <w:rFonts w:hint="eastAsia" w:ascii="Times New Roman,宋体" w:hAnsi="Times New Roman,宋体" w:eastAsia="Times New Roman,宋体"/>
          <w:noProof/>
          <w:spacing w:val="-92"/>
          <w:sz w:val="21"/>
        </w:rPr>
        <w:t>）</w:t>
      </w:r>
      <w:r>
        <w:rPr>
          <w:rFonts w:hint="eastAsia" w:ascii="Times New Roman,宋体" w:hAnsi="Times New Roman,宋体" w:eastAsia="Times New Roman,宋体"/>
          <w:noProof/>
          <w:spacing w:val="-18"/>
          <w:sz w:val="21"/>
        </w:rPr>
        <w:t>》，公安部</w:t>
      </w:r>
      <w:r>
        <w:rPr>
          <w:rFonts w:hint="eastAsia" w:ascii="Times New Roman,宋体" w:hAnsi="Times New Roman,宋体" w:eastAsia="Times New Roman,宋体"/>
          <w:noProof/>
          <w:spacing w:val="-18"/>
          <w:sz w:val="21"/>
        </w:rPr>
        <w:t> </w:t>
      </w:r>
      <w:r>
        <w:rPr>
          <w:rFonts w:hint="eastAsia" w:ascii="Times New Roman,宋体" w:hAnsi="Times New Roman,宋体" w:eastAsia="Times New Roman,宋体"/>
          <w:noProof/>
          <w:sz w:val="21"/>
        </w:rPr>
        <w:t>201</w:t>
      </w:r>
      <w:r>
        <w:rPr>
          <w:rFonts w:hint="eastAsia" w:ascii="Times New Roman,宋体" w:hAnsi="Times New Roman,宋体" w:eastAsia="Times New Roman,宋体"/>
          <w:noProof/>
          <w:sz w:val="21"/>
        </w:rPr>
        <w:t>7</w:t>
      </w:r>
      <w:r>
        <w:rPr>
          <w:rFonts w:hint="eastAsia" w:ascii="Times New Roman,宋体" w:hAnsi="Times New Roman,宋体" w:eastAsia="Times New Roman,宋体"/>
          <w:noProof/>
          <w:spacing w:val="-6"/>
          <w:sz w:val="21"/>
        </w:rPr>
        <w:t>年</w:t>
      </w:r>
      <w:r>
        <w:rPr>
          <w:rFonts w:hint="eastAsia" w:ascii="Times New Roman,宋体" w:hAnsi="Times New Roman,宋体" w:eastAsia="Times New Roman,宋体"/>
          <w:noProof/>
          <w:sz w:val="21"/>
        </w:rPr>
        <w:t>5</w:t>
      </w:r>
      <w:r>
        <w:rPr>
          <w:rFonts w:hint="eastAsia" w:ascii="Times New Roman,宋体" w:hAnsi="Times New Roman,宋体" w:eastAsia="Times New Roman,宋体"/>
          <w:noProof/>
          <w:spacing w:val="-6"/>
          <w:sz w:val="21"/>
        </w:rPr>
        <w:t>月</w:t>
      </w:r>
      <w:r>
        <w:rPr>
          <w:rFonts w:hint="eastAsia" w:ascii="Times New Roman,宋体" w:hAnsi="Times New Roman,宋体" w:eastAsia="Times New Roman,宋体"/>
          <w:noProof/>
          <w:spacing w:val="-6"/>
          <w:sz w:val="21"/>
        </w:rPr>
        <w:t> </w:t>
      </w:r>
      <w:r>
        <w:rPr>
          <w:rFonts w:hint="eastAsia" w:ascii="Times New Roman,宋体" w:hAnsi="Times New Roman,宋体" w:eastAsia="Times New Roman,宋体"/>
          <w:noProof/>
          <w:sz w:val="21"/>
        </w:rPr>
        <w:t>11</w:t>
      </w:r>
      <w:r>
        <w:rPr>
          <w:rFonts w:hint="eastAsia" w:ascii="Times New Roman,宋体" w:hAnsi="Times New Roman,宋体" w:eastAsia="Times New Roman,宋体"/>
          <w:noProof/>
          <w:spacing w:val="-3"/>
          <w:sz w:val="21"/>
        </w:rPr>
        <w:t>日公告</w:t>
      </w:r>
    </w:p>
    <w:p>
      <w:pPr>
        <w:spacing w:line="240" w:lineRule="auto"/>
        <w:jc w:val="both"/>
      </w:pP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H</w:t>
      </w:r>
      <w:r>
        <w:rPr>
          <w:rFonts w:hint="eastAsia" w:ascii="Times New Roman,宋体" w:hAnsi="Times New Roman,宋体" w:eastAsia="Times New Roman,宋体"/>
          <w:noProof/>
          <w:sz w:val="21"/>
        </w:rPr>
        <w:t>】</w:t>
      </w:r>
      <w:r>
        <w:rPr>
          <w:rFonts w:hint="eastAsia" w:ascii="Times New Roman,宋体" w:hAnsi="Times New Roman,宋体" w:eastAsia="Times New Roman,宋体"/>
          <w:noProof/>
          <w:sz w:val="21"/>
        </w:rPr>
        <w:t> </w:t>
      </w:r>
      <w:r>
        <w:rPr>
          <w:rFonts w:hint="eastAsia" w:ascii="Times New Roman,宋体" w:hAnsi="Times New Roman,宋体" w:eastAsia="Times New Roman,宋体"/>
          <w:noProof/>
          <w:sz w:val="21"/>
        </w:rPr>
        <w:t>《高毒物品目录》，卫生部</w:t>
      </w:r>
      <w:r>
        <w:rPr>
          <w:rFonts w:hint="eastAsia" w:ascii="Times New Roman,宋体" w:hAnsi="Times New Roman,宋体" w:eastAsia="Times New Roman,宋体"/>
          <w:noProof/>
          <w:sz w:val="21"/>
        </w:rPr>
        <w:t> 2003 </w:t>
      </w:r>
      <w:r>
        <w:rPr>
          <w:rFonts w:hint="eastAsia" w:ascii="Times New Roman,宋体" w:hAnsi="Times New Roman,宋体" w:eastAsia="Times New Roman,宋体"/>
          <w:noProof/>
          <w:sz w:val="21"/>
        </w:rPr>
        <w:t>年第</w:t>
      </w:r>
      <w:r>
        <w:rPr>
          <w:rFonts w:hint="eastAsia" w:ascii="Times New Roman,宋体" w:hAnsi="Times New Roman,宋体" w:eastAsia="Times New Roman,宋体"/>
          <w:noProof/>
          <w:sz w:val="21"/>
        </w:rPr>
        <w:t> 142 </w:t>
      </w:r>
      <w:r>
        <w:rPr>
          <w:rFonts w:hint="eastAsia" w:ascii="Times New Roman,宋体" w:hAnsi="Times New Roman,宋体" w:eastAsia="Times New Roman,宋体"/>
          <w:noProof/>
          <w:sz w:val="21"/>
        </w:rPr>
        <w:t>号通知</w:t>
      </w:r>
    </w:p>
    <w:sectPr>
      <w:type w:val="nextPage"/>
      <w:pgSz w:w="11910" w:h="16845" w:orient="portrait"/>
      <w:pgMar w:top="1140" w:right="1140" w:bottom="1140" w:left="1140" w:header="660" w:footer="1110" w:gutter="0"/>
    </w:sectPr>
  </w:body>
</w:document>
</file>

<file path=word/settings.xml><?xml version="1.0" encoding="utf-8"?>
<w:setting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doNotExpandShiftReturn/>
    <w:compatSetting w:name="overrideTableStyleFontSizeAndJustification" w:uri="http://schemas.microsoft.com/office/word" w:val="1"/>
    <w:compatSetting w:name="compatibilityMode" w:uri="http://schemas.microsoft.com/office/word" w:val="16"/>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pPr>
      <w:spacing w:before="0" w:beforeLines="0" w:after="0" w:afterLines="0" w:line="240"/>
      <w:jc w:val="both"/>
    </w:pPr>
    <w:rPr>
      <w:rFonts w:ascii="Calibri" w:hAnsi="Calibri" w:eastAsia="等线" w:cs="21"/>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black"/>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black"/>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black"/>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black"/>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 Target="media/document_image_rId5.gif" Type="http://schemas.openxmlformats.org/officeDocument/2006/relationships/image" Id="rId5"/>
</Relationships>

</file>

<file path=docProps/app.xml><?xml version="1.0" encoding="utf-8"?>
<properties:Properties xmlns:properties="http://schemas.openxmlformats.org/officeDocument/2006/extended-properties" xmlns:vt="http://schemas.openxmlformats.org/officeDocument/2006/docPropsVTypes">
  <properties:Company/>
  <properties:Application/>
  <properties:AppVersion>1.1</properties:AppVersion>
</properties:Properties>
</file>

<file path=docProps/core.xml><?xml version="1.0" encoding="utf-8"?>
<cp:coreProperties xmlns:cp="http://schemas.openxmlformats.org/package/2006/metadata/core-properties" xmlns:dcterms="http://purl.org/dc/terms/" xmlns:dc="http://purl.org/dc/elements/1.1/">
  <dc:creator/>
  <cp:lastModifiedBy/>
</cp:coreProperties>
</file>